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5FA558AD" w:rsidR="00393EC8" w:rsidRPr="00734374" w:rsidRDefault="00085F8D" w:rsidP="008543AD">
            <w:pPr>
              <w:rPr>
                <w:rFonts w:ascii="Arial" w:hAnsi="Arial" w:cs="Arial"/>
              </w:rPr>
            </w:pPr>
            <w:r w:rsidRPr="00085F8D">
              <w:rPr>
                <w:rFonts w:ascii="Arial" w:hAnsi="Arial" w:cs="Arial"/>
                <w:noProof/>
              </w:rPr>
              <w:drawing>
                <wp:inline distT="0" distB="0" distL="0" distR="0" wp14:anchorId="0098E0DE" wp14:editId="4E925A77">
                  <wp:extent cx="1343025" cy="866775"/>
                  <wp:effectExtent l="0" t="0" r="9525" b="9525"/>
                  <wp:docPr id="1" name="Picture 1" descr="D:\SASD RegionalSan\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8F72974" w:rsidR="00393EC8" w:rsidRPr="00C35F03" w:rsidRDefault="00723A10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Regional San Maximo Upgrade &amp; Support</w:t>
            </w:r>
          </w:p>
          <w:p w14:paraId="00232641" w14:textId="24C93654" w:rsidR="00393EC8" w:rsidRPr="00F86CCD" w:rsidRDefault="00EE36BC" w:rsidP="00B23C2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E02836">
              <w:rPr>
                <w:rFonts w:ascii="Arial" w:hAnsi="Arial" w:cs="Arial"/>
                <w:b/>
              </w:rPr>
              <w:t>12/13</w:t>
            </w:r>
            <w:r w:rsidR="002430EA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40C405E4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447C83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226D4D3E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29211F3A" w:rsidR="007B50A9" w:rsidRPr="00F86CCD" w:rsidRDefault="007B50A9" w:rsidP="00447C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50A9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Dean Wyley</w:t>
            </w:r>
          </w:p>
        </w:tc>
      </w:tr>
    </w:tbl>
    <w:p w14:paraId="67539E40" w14:textId="026856EC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13"/>
        <w:gridCol w:w="299"/>
        <w:gridCol w:w="1445"/>
        <w:gridCol w:w="538"/>
        <w:gridCol w:w="547"/>
        <w:gridCol w:w="282"/>
        <w:gridCol w:w="1526"/>
        <w:gridCol w:w="1209"/>
        <w:gridCol w:w="1233"/>
        <w:gridCol w:w="320"/>
        <w:gridCol w:w="950"/>
        <w:gridCol w:w="1362"/>
        <w:gridCol w:w="2372"/>
      </w:tblGrid>
      <w:tr w:rsidR="00393EC8" w:rsidRPr="00642381" w14:paraId="2D6CC16A" w14:textId="77777777" w:rsidTr="00437225">
        <w:trPr>
          <w:trHeight w:val="337"/>
        </w:trPr>
        <w:tc>
          <w:tcPr>
            <w:tcW w:w="907" w:type="pct"/>
            <w:gridSpan w:val="2"/>
          </w:tcPr>
          <w:p w14:paraId="5C3396C1" w14:textId="58887EE5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66CA">
              <w:rPr>
                <w:rFonts w:ascii="Arial" w:hAnsi="Arial" w:cs="Arial"/>
                <w:b/>
                <w:sz w:val="22"/>
                <w:szCs w:val="22"/>
              </w:rPr>
              <w:t>43</w:t>
            </w:r>
          </w:p>
        </w:tc>
        <w:tc>
          <w:tcPr>
            <w:tcW w:w="879" w:type="pct"/>
            <w:gridSpan w:val="3"/>
          </w:tcPr>
          <w:p w14:paraId="422B5842" w14:textId="0E8905AA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17" w:type="pct"/>
            <w:gridSpan w:val="6"/>
          </w:tcPr>
          <w:p w14:paraId="6E8E23D2" w14:textId="7AFA30F7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03/31/2022</w:t>
            </w:r>
          </w:p>
        </w:tc>
        <w:tc>
          <w:tcPr>
            <w:tcW w:w="1297" w:type="pct"/>
            <w:gridSpan w:val="2"/>
          </w:tcPr>
          <w:p w14:paraId="6AC1F1F9" w14:textId="54404CCB" w:rsidR="00393EC8" w:rsidRPr="00642381" w:rsidRDefault="00DD02C2" w:rsidP="00095D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3"/>
          </w:tcPr>
          <w:p w14:paraId="6BEE4860" w14:textId="77777777" w:rsidR="000C66CA" w:rsidRDefault="00393EC8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5D8A113" w14:textId="06FD6404" w:rsidR="000C66CA" w:rsidRDefault="000C66CA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Information Technology (IT) is overseeing a routine Maximo upgrade for both the Sacramento Regional County Sanitation District (Regional San) and the Sacramento Area Sewer District (SASD).  Initiative-143 is specific to the SASD Maximo upgrade from 7.6.0 to 7.6.1.2 (or the latest patch version at the time of development).</w:t>
            </w:r>
          </w:p>
          <w:p w14:paraId="071BACDD" w14:textId="6044944A" w:rsidR="00563C7C" w:rsidRPr="00563C7C" w:rsidRDefault="00563C7C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The IBM Maximo Asset Management framework has been in use by both the Sacramento Regional County District (Regional San) and the Sacramento Area Sewer District (SASD) as a web-based Computerized Maintenance Management System (CMMS) to perform enterprise asset</w:t>
            </w:r>
            <w:r w:rsidR="000C66CA">
              <w:rPr>
                <w:rFonts w:ascii="Segoe UI" w:hAnsi="Segoe UI" w:cs="Segoe UI"/>
                <w:color w:val="172B4D"/>
                <w:sz w:val="21"/>
                <w:szCs w:val="21"/>
              </w:rPr>
              <w:t>s</w:t>
            </w: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management for several years.  Both districts upgraded to the current Maximo 7.6.0 in 2018 (SASD in April and Regional San in July).</w:t>
            </w:r>
          </w:p>
          <w:p w14:paraId="4BC34884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IBM has formally announced that support for Maximo 7.6.0 will end in September 2021.  Extended support is possible at a cost, and may need to be applied for and then approved by IBM.</w:t>
            </w:r>
          </w:p>
          <w:p w14:paraId="1DC1CC91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In addition, the IT Patch Standards call for IT to upgrade Maximo every 18-24 months.</w:t>
            </w:r>
          </w:p>
          <w:p w14:paraId="4044BED3" w14:textId="2823F932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576" w:rsidRPr="00642381" w14:paraId="1735C8F8" w14:textId="77777777" w:rsidTr="002430EA">
        <w:trPr>
          <w:trHeight w:val="337"/>
        </w:trPr>
        <w:tc>
          <w:tcPr>
            <w:tcW w:w="80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3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18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59" w:type="pct"/>
            <w:gridSpan w:val="3"/>
            <w:shd w:val="clear" w:color="auto" w:fill="00B050"/>
            <w:vAlign w:val="center"/>
          </w:tcPr>
          <w:p w14:paraId="22CC0385" w14:textId="7FA55741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0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409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75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0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38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365B73" w:rsidRPr="00642381" w14:paraId="17C638B6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15D0A142" w14:textId="2D5CA371" w:rsidR="00365B73" w:rsidRDefault="00365B73" w:rsidP="002B56F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Plan/Schedule</w:t>
            </w:r>
            <w:r w:rsidR="008E5B79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2B56F8">
              <w:rPr>
                <w:rFonts w:ascii="Arial" w:hAnsi="Arial" w:cs="Arial"/>
                <w:color w:val="000000"/>
                <w:sz w:val="22"/>
                <w:szCs w:val="22"/>
              </w:rPr>
              <w:t>Integraded</w:t>
            </w:r>
            <w:proofErr w:type="spellEnd"/>
            <w:r w:rsidR="008E5B7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5" w:type="pct"/>
            <w:gridSpan w:val="3"/>
          </w:tcPr>
          <w:p w14:paraId="7FC71B91" w14:textId="19FAFAB9" w:rsidR="00365B73" w:rsidRDefault="002B56F8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10/18/21</w:t>
            </w:r>
          </w:p>
        </w:tc>
        <w:tc>
          <w:tcPr>
            <w:tcW w:w="530" w:type="pct"/>
          </w:tcPr>
          <w:p w14:paraId="14798B88" w14:textId="3DA83736" w:rsidR="00365B73" w:rsidRDefault="002B56F8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11/19/21</w:t>
            </w:r>
          </w:p>
        </w:tc>
        <w:tc>
          <w:tcPr>
            <w:tcW w:w="420" w:type="pct"/>
          </w:tcPr>
          <w:p w14:paraId="15EA8BA5" w14:textId="77777777" w:rsidR="00365B73" w:rsidRDefault="00365B73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1FBE4FF" w14:textId="56DCC269" w:rsidR="00365B73" w:rsidRDefault="00E71F28" w:rsidP="008E5B79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  <w:r w:rsidR="00A7616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178D0359" w14:textId="17B53A99" w:rsidR="00365B73" w:rsidRDefault="00CB3A7A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Drafting of Project Plan and Schedule (Baseline)</w:t>
            </w:r>
          </w:p>
        </w:tc>
      </w:tr>
      <w:tr w:rsidR="0084070E" w:rsidRPr="00642381" w14:paraId="4CB161BA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6D5F157A" w14:textId="2F960F21" w:rsidR="0084070E" w:rsidRDefault="0084070E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73C7D284" w14:textId="77777777" w:rsidR="0084070E" w:rsidRDefault="0084070E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53E4130E" w14:textId="77777777" w:rsidR="0084070E" w:rsidRDefault="0084070E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6FBBD8B9" w14:textId="62F6C2A5" w:rsidR="0084070E" w:rsidRDefault="0084070E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14762CD7" w14:textId="768838C5" w:rsidR="0084070E" w:rsidRDefault="0084070E" w:rsidP="008E5B79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14A302DC" w14:textId="3AA2118E" w:rsidR="0084070E" w:rsidRDefault="0084070E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CCECB81" w14:textId="77777777" w:rsidR="00F87CE6" w:rsidRDefault="00F87CE6"/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962"/>
        <w:gridCol w:w="7422"/>
      </w:tblGrid>
      <w:tr w:rsidR="00527C71" w:rsidRPr="00642381" w14:paraId="17E5C533" w14:textId="77777777" w:rsidTr="00527C71">
        <w:trPr>
          <w:trHeight w:val="255"/>
          <w:tblHeader/>
        </w:trPr>
        <w:tc>
          <w:tcPr>
            <w:tcW w:w="2420" w:type="pct"/>
            <w:shd w:val="clear" w:color="auto" w:fill="17365D" w:themeFill="text2" w:themeFillShade="BF"/>
          </w:tcPr>
          <w:p w14:paraId="17E5C531" w14:textId="44C4622D" w:rsidR="00527C71" w:rsidRPr="00642381" w:rsidRDefault="00527C71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580" w:type="pct"/>
            <w:shd w:val="clear" w:color="auto" w:fill="17365D" w:themeFill="text2" w:themeFillShade="BF"/>
          </w:tcPr>
          <w:p w14:paraId="17E5C532" w14:textId="6121EB67" w:rsidR="00527C71" w:rsidRPr="00642381" w:rsidRDefault="00527C71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27C71" w:rsidRPr="00642381" w14:paraId="34391E63" w14:textId="77777777" w:rsidTr="00527C71">
        <w:trPr>
          <w:trHeight w:val="53"/>
        </w:trPr>
        <w:tc>
          <w:tcPr>
            <w:tcW w:w="2420" w:type="pct"/>
            <w:shd w:val="clear" w:color="auto" w:fill="auto"/>
          </w:tcPr>
          <w:p w14:paraId="459CC60E" w14:textId="77777777" w:rsidR="002B56F8" w:rsidRDefault="002B56F8" w:rsidP="002B56F8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CMMS updated Related Systems / Configuration Impacted Items listing and posted to Confluence</w:t>
            </w:r>
          </w:p>
          <w:p w14:paraId="2A66EAE4" w14:textId="77777777" w:rsidR="002B56F8" w:rsidRDefault="002B56F8" w:rsidP="002B56F8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 19 of the original 19 HLR/BPM Sessions</w:t>
            </w:r>
          </w:p>
          <w:p w14:paraId="494E0492" w14:textId="79BB2200" w:rsidR="002B56F8" w:rsidRDefault="00E71F28" w:rsidP="002B56F8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 additional meetings have been completed (24 total)</w:t>
            </w:r>
          </w:p>
          <w:p w14:paraId="5112236A" w14:textId="2846EBE3" w:rsidR="002B56F8" w:rsidRDefault="00E71F28" w:rsidP="002B56F8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 Deliverables Approved (100</w:t>
            </w:r>
            <w:r w:rsidR="002B56F8">
              <w:rPr>
                <w:rFonts w:ascii="Arial" w:hAnsi="Arial" w:cs="Arial"/>
                <w:color w:val="000000"/>
                <w:sz w:val="22"/>
                <w:szCs w:val="22"/>
              </w:rPr>
              <w:t>%)</w:t>
            </w:r>
          </w:p>
          <w:p w14:paraId="635F4170" w14:textId="7A66E144" w:rsidR="00527C71" w:rsidRPr="008E5B79" w:rsidRDefault="00527C71" w:rsidP="002B56F8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pct"/>
            <w:shd w:val="clear" w:color="auto" w:fill="auto"/>
          </w:tcPr>
          <w:p w14:paraId="03F7145B" w14:textId="5187D6DC" w:rsidR="00527C71" w:rsidRDefault="00527C71" w:rsidP="00EE48B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Prepare for project kick off and project </w:t>
            </w:r>
            <w:r w:rsidR="00B23C2D">
              <w:rPr>
                <w:rFonts w:ascii="Arial" w:hAnsi="Arial" w:cs="Arial"/>
                <w:color w:val="000000"/>
                <w:sz w:val="22"/>
                <w:szCs w:val="22"/>
              </w:rPr>
              <w:t>plan review.</w:t>
            </w:r>
          </w:p>
          <w:p w14:paraId="0D11C518" w14:textId="77777777" w:rsidR="002B56F8" w:rsidRDefault="002B56F8" w:rsidP="002B56F8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Build-Out of Confluence Site for Planning Phase</w:t>
            </w:r>
          </w:p>
          <w:p w14:paraId="585E4991" w14:textId="7DC2E37C" w:rsidR="002B56F8" w:rsidRPr="00853296" w:rsidRDefault="002B56F8" w:rsidP="002B56F8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610"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  <w:tr w:rsidR="00527C71" w:rsidRPr="00642381" w14:paraId="35B69C7A" w14:textId="77777777" w:rsidTr="00527C71">
        <w:trPr>
          <w:trHeight w:val="53"/>
        </w:trPr>
        <w:tc>
          <w:tcPr>
            <w:tcW w:w="2420" w:type="pct"/>
            <w:shd w:val="clear" w:color="auto" w:fill="auto"/>
          </w:tcPr>
          <w:p w14:paraId="16DEC017" w14:textId="56F8AA46" w:rsidR="00D24CF8" w:rsidRDefault="00B23C2D" w:rsidP="002B56F8">
            <w:pPr>
              <w:pStyle w:val="ListParagraph"/>
              <w:spacing w:before="40" w:after="4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Completed:</w:t>
            </w:r>
          </w:p>
          <w:p w14:paraId="088DCE4C" w14:textId="70E961B6" w:rsidR="00B23C2D" w:rsidRDefault="00E71F28" w:rsidP="00B23C2D">
            <w:pPr>
              <w:pStyle w:val="ListParagraph"/>
              <w:numPr>
                <w:ilvl w:val="0"/>
                <w:numId w:val="24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Initial Test of DEV Environment</w:t>
            </w:r>
            <w:bookmarkStart w:id="1" w:name="_GoBack"/>
            <w:bookmarkEnd w:id="1"/>
          </w:p>
          <w:p w14:paraId="27DF8E89" w14:textId="63EA51DA" w:rsidR="00E7785A" w:rsidRPr="00E7785A" w:rsidRDefault="00E7785A" w:rsidP="00E7785A">
            <w:pPr>
              <w:spacing w:before="40" w:after="4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80" w:type="pct"/>
            <w:shd w:val="clear" w:color="auto" w:fill="auto"/>
          </w:tcPr>
          <w:p w14:paraId="447CE95B" w14:textId="5EA91646" w:rsidR="00B23C2D" w:rsidRDefault="00B23C2D" w:rsidP="008E5B7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Validation of DEV environment</w:t>
            </w:r>
          </w:p>
          <w:p w14:paraId="17C8611C" w14:textId="11B642E2" w:rsidR="00B23C2D" w:rsidRDefault="00B23C2D" w:rsidP="008E5B7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Stand up TEST server cluster</w:t>
            </w:r>
          </w:p>
          <w:p w14:paraId="5F8E1F5D" w14:textId="1B1C94A6" w:rsidR="00B23C2D" w:rsidRDefault="00B23C2D" w:rsidP="008E5B7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Begin the Upgrade of the TEST environment</w:t>
            </w:r>
          </w:p>
          <w:p w14:paraId="156EE2A2" w14:textId="20ADBEC9" w:rsidR="00D24CF8" w:rsidRDefault="00340600" w:rsidP="008E5B7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Schedule the additional 5 sessions</w:t>
            </w:r>
          </w:p>
          <w:p w14:paraId="466BEED8" w14:textId="724890E6" w:rsidR="00527C71" w:rsidRPr="00527C71" w:rsidRDefault="00527C71" w:rsidP="002B56F8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 will continue to collaborate on the clarifying the scope of TRM’s support for the upgrade, as well as, any post-implementation support.</w:t>
            </w:r>
          </w:p>
        </w:tc>
      </w:tr>
      <w:tr w:rsidR="002B56F8" w:rsidRPr="00642381" w14:paraId="629C34EA" w14:textId="77777777" w:rsidTr="00527C71">
        <w:trPr>
          <w:trHeight w:val="53"/>
        </w:trPr>
        <w:tc>
          <w:tcPr>
            <w:tcW w:w="2420" w:type="pct"/>
            <w:shd w:val="clear" w:color="auto" w:fill="auto"/>
          </w:tcPr>
          <w:p w14:paraId="29203CBB" w14:textId="7184358F" w:rsidR="002B56F8" w:rsidRDefault="002B56F8" w:rsidP="002B56F8">
            <w:pPr>
              <w:pStyle w:val="ListParagraph"/>
              <w:spacing w:before="40" w:after="4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Reviewed and Integrated Interloc Project Plan</w:t>
            </w:r>
          </w:p>
        </w:tc>
        <w:tc>
          <w:tcPr>
            <w:tcW w:w="2580" w:type="pct"/>
            <w:shd w:val="clear" w:color="auto" w:fill="auto"/>
          </w:tcPr>
          <w:p w14:paraId="54C69DAF" w14:textId="7EA18151" w:rsidR="002B56F8" w:rsidRDefault="002B56F8" w:rsidP="008E5B7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Refine Plan for final baseline approval.</w:t>
            </w:r>
          </w:p>
        </w:tc>
      </w:tr>
    </w:tbl>
    <w:p w14:paraId="6166681F" w14:textId="5D2A03EA" w:rsidR="008703F1" w:rsidRDefault="008703F1"/>
    <w:tbl>
      <w:tblPr>
        <w:tblW w:w="499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1171"/>
        <w:gridCol w:w="1889"/>
        <w:gridCol w:w="3870"/>
        <w:gridCol w:w="3284"/>
      </w:tblGrid>
      <w:tr w:rsidR="000C66CA" w:rsidRPr="00642381" w14:paraId="546B7244" w14:textId="77777777" w:rsidTr="00527C71">
        <w:trPr>
          <w:trHeight w:val="120"/>
        </w:trPr>
        <w:tc>
          <w:tcPr>
            <w:tcW w:w="1442" w:type="pct"/>
            <w:shd w:val="clear" w:color="auto" w:fill="17365D" w:themeFill="text2" w:themeFillShade="BF"/>
          </w:tcPr>
          <w:p w14:paraId="084D580F" w14:textId="3861233E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408" w:type="pct"/>
            <w:shd w:val="clear" w:color="auto" w:fill="17365D" w:themeFill="text2" w:themeFillShade="BF"/>
          </w:tcPr>
          <w:p w14:paraId="4136F3FB" w14:textId="76E275EF" w:rsidR="000C66CA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58" w:type="pct"/>
            <w:shd w:val="clear" w:color="auto" w:fill="17365D" w:themeFill="text2" w:themeFillShade="BF"/>
          </w:tcPr>
          <w:p w14:paraId="1A37FF9C" w14:textId="07076193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7155B413" w14:textId="02CEADEA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144" w:type="pct"/>
            <w:shd w:val="clear" w:color="auto" w:fill="17365D" w:themeFill="text2" w:themeFillShade="BF"/>
          </w:tcPr>
          <w:p w14:paraId="7FEA23C6" w14:textId="77777777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C66CA" w14:paraId="0C0155F4" w14:textId="77777777" w:rsidTr="00527C71">
        <w:trPr>
          <w:trHeight w:val="120"/>
        </w:trPr>
        <w:tc>
          <w:tcPr>
            <w:tcW w:w="1442" w:type="pct"/>
            <w:shd w:val="clear" w:color="auto" w:fill="auto"/>
          </w:tcPr>
          <w:p w14:paraId="390B86FA" w14:textId="4AD6DD4F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 Study Environment to be excluded from Upgrade scope and shut down</w:t>
            </w:r>
          </w:p>
        </w:tc>
        <w:tc>
          <w:tcPr>
            <w:tcW w:w="408" w:type="pct"/>
          </w:tcPr>
          <w:p w14:paraId="0E8FC739" w14:textId="3EE5355E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03/23</w:t>
            </w:r>
          </w:p>
        </w:tc>
        <w:tc>
          <w:tcPr>
            <w:tcW w:w="658" w:type="pct"/>
          </w:tcPr>
          <w:p w14:paraId="0A45EA5B" w14:textId="743ACB22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Eric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Ruffner</w:t>
            </w:r>
            <w:proofErr w:type="spellEnd"/>
          </w:p>
        </w:tc>
        <w:tc>
          <w:tcPr>
            <w:tcW w:w="1348" w:type="pct"/>
          </w:tcPr>
          <w:p w14:paraId="373C6E1D" w14:textId="00935E10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 as a verified assumption in Project log</w:t>
            </w:r>
          </w:p>
        </w:tc>
        <w:tc>
          <w:tcPr>
            <w:tcW w:w="1144" w:type="pct"/>
          </w:tcPr>
          <w:p w14:paraId="24592C33" w14:textId="70DA4BA2" w:rsidR="000C66CA" w:rsidRDefault="00F56283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  <w:tr w:rsidR="000C66CA" w14:paraId="28584180" w14:textId="77777777" w:rsidTr="00527C71">
        <w:trPr>
          <w:trHeight w:val="120"/>
        </w:trPr>
        <w:tc>
          <w:tcPr>
            <w:tcW w:w="1442" w:type="pct"/>
            <w:shd w:val="clear" w:color="auto" w:fill="auto"/>
          </w:tcPr>
          <w:p w14:paraId="2A4B38AD" w14:textId="23AC2EEA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Maximo 8 (Maximo Application Suite) will not be an option for this upgrade</w:t>
            </w:r>
          </w:p>
        </w:tc>
        <w:tc>
          <w:tcPr>
            <w:tcW w:w="408" w:type="pct"/>
          </w:tcPr>
          <w:p w14:paraId="27E75513" w14:textId="29E81B3B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03/25</w:t>
            </w:r>
          </w:p>
        </w:tc>
        <w:tc>
          <w:tcPr>
            <w:tcW w:w="658" w:type="pct"/>
          </w:tcPr>
          <w:p w14:paraId="22C9FFD1" w14:textId="5FA8FA78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1348" w:type="pct"/>
          </w:tcPr>
          <w:p w14:paraId="3A67CCE4" w14:textId="3D97ABEE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Current infrastructure and overall readiness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are</w:t>
            </w: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not in place to support this version.  IT will review and set the appropriate timeline for a move to this version</w:t>
            </w:r>
          </w:p>
        </w:tc>
        <w:tc>
          <w:tcPr>
            <w:tcW w:w="1144" w:type="pct"/>
          </w:tcPr>
          <w:p w14:paraId="3B2C2A1C" w14:textId="58402228" w:rsidR="000C66CA" w:rsidRDefault="000C66CA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</w:tbl>
    <w:p w14:paraId="2FE513D5" w14:textId="2BCFA865" w:rsidR="000C66CA" w:rsidRDefault="000C66CA"/>
    <w:p w14:paraId="587BF193" w14:textId="77777777" w:rsidR="000C66CA" w:rsidRDefault="000C66CA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52D5C92A" w:rsidR="00285F5B" w:rsidRDefault="00801057" w:rsidP="003D6E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8C632E8" w14:textId="525E52B3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798A86B2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2DDC5A8C" w:rsidR="00285F5B" w:rsidRDefault="00285F5B" w:rsidP="008F27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440C4E77" w:rsidR="00285F5B" w:rsidRDefault="00285F5B" w:rsidP="00285F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24C8BD21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B0B1F9D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58AC74D6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187789F3" w:rsidR="00285F5B" w:rsidRPr="00642381" w:rsidRDefault="000C66CA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50840563" w:rsidR="00285F5B" w:rsidRPr="00B57277" w:rsidRDefault="00801057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610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60CE" w14:textId="77777777" w:rsidR="00E92AA6" w:rsidRDefault="00E92AA6">
      <w:r>
        <w:separator/>
      </w:r>
    </w:p>
  </w:endnote>
  <w:endnote w:type="continuationSeparator" w:id="0">
    <w:p w14:paraId="6B0F485D" w14:textId="77777777" w:rsidR="00E92AA6" w:rsidRDefault="00E9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7DEB03B1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E71F28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D01E" w14:textId="77777777" w:rsidR="00E92AA6" w:rsidRDefault="00E92AA6">
      <w:r>
        <w:separator/>
      </w:r>
    </w:p>
  </w:footnote>
  <w:footnote w:type="continuationSeparator" w:id="0">
    <w:p w14:paraId="4776F858" w14:textId="77777777" w:rsidR="00E92AA6" w:rsidRDefault="00E9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717CD"/>
    <w:multiLevelType w:val="hybridMultilevel"/>
    <w:tmpl w:val="6A7A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DB3080"/>
    <w:multiLevelType w:val="hybridMultilevel"/>
    <w:tmpl w:val="9720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D152A"/>
    <w:multiLevelType w:val="hybridMultilevel"/>
    <w:tmpl w:val="5236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68A"/>
    <w:multiLevelType w:val="hybridMultilevel"/>
    <w:tmpl w:val="2140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16292"/>
    <w:multiLevelType w:val="hybridMultilevel"/>
    <w:tmpl w:val="B0065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387B26"/>
    <w:multiLevelType w:val="hybridMultilevel"/>
    <w:tmpl w:val="B788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5"/>
  </w:num>
  <w:num w:numId="5">
    <w:abstractNumId w:val="7"/>
  </w:num>
  <w:num w:numId="6">
    <w:abstractNumId w:val="16"/>
  </w:num>
  <w:num w:numId="7">
    <w:abstractNumId w:val="2"/>
  </w:num>
  <w:num w:numId="8">
    <w:abstractNumId w:val="0"/>
  </w:num>
  <w:num w:numId="9">
    <w:abstractNumId w:val="13"/>
  </w:num>
  <w:num w:numId="10">
    <w:abstractNumId w:val="21"/>
  </w:num>
  <w:num w:numId="11">
    <w:abstractNumId w:val="18"/>
  </w:num>
  <w:num w:numId="12">
    <w:abstractNumId w:val="11"/>
  </w:num>
  <w:num w:numId="13">
    <w:abstractNumId w:val="22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17"/>
  </w:num>
  <w:num w:numId="19">
    <w:abstractNumId w:val="20"/>
  </w:num>
  <w:num w:numId="20">
    <w:abstractNumId w:val="1"/>
  </w:num>
  <w:num w:numId="21">
    <w:abstractNumId w:val="8"/>
  </w:num>
  <w:num w:numId="22">
    <w:abstractNumId w:val="12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MqoFAChomxUtAAAA"/>
  </w:docVars>
  <w:rsids>
    <w:rsidRoot w:val="00734374"/>
    <w:rsid w:val="00002088"/>
    <w:rsid w:val="00003561"/>
    <w:rsid w:val="000035CF"/>
    <w:rsid w:val="00004553"/>
    <w:rsid w:val="000052E0"/>
    <w:rsid w:val="00007AEA"/>
    <w:rsid w:val="000123D2"/>
    <w:rsid w:val="0002343A"/>
    <w:rsid w:val="00023934"/>
    <w:rsid w:val="0002537C"/>
    <w:rsid w:val="00030E13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F8D"/>
    <w:rsid w:val="000876D5"/>
    <w:rsid w:val="00091C98"/>
    <w:rsid w:val="00092646"/>
    <w:rsid w:val="00095640"/>
    <w:rsid w:val="00095D59"/>
    <w:rsid w:val="000966DF"/>
    <w:rsid w:val="000975E0"/>
    <w:rsid w:val="000A0527"/>
    <w:rsid w:val="000A6469"/>
    <w:rsid w:val="000A6D81"/>
    <w:rsid w:val="000B036E"/>
    <w:rsid w:val="000B276C"/>
    <w:rsid w:val="000B27F7"/>
    <w:rsid w:val="000B306E"/>
    <w:rsid w:val="000B35A2"/>
    <w:rsid w:val="000B5ED2"/>
    <w:rsid w:val="000B6676"/>
    <w:rsid w:val="000C0C64"/>
    <w:rsid w:val="000C1759"/>
    <w:rsid w:val="000C2F04"/>
    <w:rsid w:val="000C4D28"/>
    <w:rsid w:val="000C6599"/>
    <w:rsid w:val="000C66CA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4C01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B4DB2"/>
    <w:rsid w:val="001B5620"/>
    <w:rsid w:val="001B60C8"/>
    <w:rsid w:val="001B6108"/>
    <w:rsid w:val="001B7142"/>
    <w:rsid w:val="001C4983"/>
    <w:rsid w:val="001C55B3"/>
    <w:rsid w:val="001C7508"/>
    <w:rsid w:val="001D038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240"/>
    <w:rsid w:val="0021172E"/>
    <w:rsid w:val="00211C76"/>
    <w:rsid w:val="00220B12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533FE"/>
    <w:rsid w:val="002551FA"/>
    <w:rsid w:val="002554E4"/>
    <w:rsid w:val="00256CE8"/>
    <w:rsid w:val="00266D9A"/>
    <w:rsid w:val="002741A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4ABF"/>
    <w:rsid w:val="00296DAB"/>
    <w:rsid w:val="002A03DD"/>
    <w:rsid w:val="002A70C5"/>
    <w:rsid w:val="002A74CE"/>
    <w:rsid w:val="002B16E6"/>
    <w:rsid w:val="002B56F8"/>
    <w:rsid w:val="002B7240"/>
    <w:rsid w:val="002B7EF1"/>
    <w:rsid w:val="002D060B"/>
    <w:rsid w:val="002D09F4"/>
    <w:rsid w:val="002D3DA2"/>
    <w:rsid w:val="002D53D8"/>
    <w:rsid w:val="002D564F"/>
    <w:rsid w:val="002D601D"/>
    <w:rsid w:val="002D6B70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0600"/>
    <w:rsid w:val="003425AC"/>
    <w:rsid w:val="00350EFC"/>
    <w:rsid w:val="00351073"/>
    <w:rsid w:val="00351886"/>
    <w:rsid w:val="00353F7F"/>
    <w:rsid w:val="003556A5"/>
    <w:rsid w:val="0036079D"/>
    <w:rsid w:val="00360A96"/>
    <w:rsid w:val="00364215"/>
    <w:rsid w:val="00364449"/>
    <w:rsid w:val="00365B73"/>
    <w:rsid w:val="0036610F"/>
    <w:rsid w:val="00375BCA"/>
    <w:rsid w:val="00377E2A"/>
    <w:rsid w:val="00383C0A"/>
    <w:rsid w:val="00385750"/>
    <w:rsid w:val="00393EC8"/>
    <w:rsid w:val="003946C3"/>
    <w:rsid w:val="003A0628"/>
    <w:rsid w:val="003A3B1E"/>
    <w:rsid w:val="003A6C6C"/>
    <w:rsid w:val="003B2D18"/>
    <w:rsid w:val="003B3323"/>
    <w:rsid w:val="003B4EE7"/>
    <w:rsid w:val="003B73E4"/>
    <w:rsid w:val="003B7B79"/>
    <w:rsid w:val="003C178E"/>
    <w:rsid w:val="003C215C"/>
    <w:rsid w:val="003C5E9D"/>
    <w:rsid w:val="003D1B81"/>
    <w:rsid w:val="003D2EDA"/>
    <w:rsid w:val="003D39B3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5195"/>
    <w:rsid w:val="003F6E01"/>
    <w:rsid w:val="00402486"/>
    <w:rsid w:val="0040263E"/>
    <w:rsid w:val="00403F39"/>
    <w:rsid w:val="004046D8"/>
    <w:rsid w:val="00404AEB"/>
    <w:rsid w:val="004113E2"/>
    <w:rsid w:val="00413C84"/>
    <w:rsid w:val="00416AA3"/>
    <w:rsid w:val="004221E3"/>
    <w:rsid w:val="00423374"/>
    <w:rsid w:val="0043070E"/>
    <w:rsid w:val="00432B37"/>
    <w:rsid w:val="00434D0B"/>
    <w:rsid w:val="00437225"/>
    <w:rsid w:val="00437A6E"/>
    <w:rsid w:val="00445EDA"/>
    <w:rsid w:val="00447C83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6CB4"/>
    <w:rsid w:val="004B6D39"/>
    <w:rsid w:val="004B7A16"/>
    <w:rsid w:val="004C092F"/>
    <w:rsid w:val="004C49BE"/>
    <w:rsid w:val="004D1E8C"/>
    <w:rsid w:val="004D5389"/>
    <w:rsid w:val="004E062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4DA8"/>
    <w:rsid w:val="00505552"/>
    <w:rsid w:val="00505B10"/>
    <w:rsid w:val="005104D3"/>
    <w:rsid w:val="00511489"/>
    <w:rsid w:val="0051524F"/>
    <w:rsid w:val="00520C09"/>
    <w:rsid w:val="00522E01"/>
    <w:rsid w:val="005253FB"/>
    <w:rsid w:val="00527C71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28DC"/>
    <w:rsid w:val="00563C7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34AC"/>
    <w:rsid w:val="00613BED"/>
    <w:rsid w:val="00613E03"/>
    <w:rsid w:val="00615E6E"/>
    <w:rsid w:val="00624714"/>
    <w:rsid w:val="00624827"/>
    <w:rsid w:val="00625917"/>
    <w:rsid w:val="00625EBC"/>
    <w:rsid w:val="00627E3B"/>
    <w:rsid w:val="00627F62"/>
    <w:rsid w:val="00636994"/>
    <w:rsid w:val="00637346"/>
    <w:rsid w:val="00640279"/>
    <w:rsid w:val="00640C20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65F61"/>
    <w:rsid w:val="00672165"/>
    <w:rsid w:val="006747CF"/>
    <w:rsid w:val="00675899"/>
    <w:rsid w:val="006833F8"/>
    <w:rsid w:val="00684BD1"/>
    <w:rsid w:val="0068608E"/>
    <w:rsid w:val="00686D91"/>
    <w:rsid w:val="006922A1"/>
    <w:rsid w:val="00693432"/>
    <w:rsid w:val="00694F25"/>
    <w:rsid w:val="00696F54"/>
    <w:rsid w:val="006A1D07"/>
    <w:rsid w:val="006A2B9E"/>
    <w:rsid w:val="006B65D0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707D69"/>
    <w:rsid w:val="0071516E"/>
    <w:rsid w:val="007201EB"/>
    <w:rsid w:val="00722B44"/>
    <w:rsid w:val="00723A10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57011"/>
    <w:rsid w:val="007607EA"/>
    <w:rsid w:val="00762CC4"/>
    <w:rsid w:val="007652D3"/>
    <w:rsid w:val="00766F7B"/>
    <w:rsid w:val="00770510"/>
    <w:rsid w:val="00770C71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50A9"/>
    <w:rsid w:val="007B617D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BF5"/>
    <w:rsid w:val="007F62A4"/>
    <w:rsid w:val="00800BD2"/>
    <w:rsid w:val="00801057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27A28"/>
    <w:rsid w:val="00830823"/>
    <w:rsid w:val="008358F2"/>
    <w:rsid w:val="0084070E"/>
    <w:rsid w:val="00840E99"/>
    <w:rsid w:val="008420C0"/>
    <w:rsid w:val="00842309"/>
    <w:rsid w:val="008447E9"/>
    <w:rsid w:val="00845252"/>
    <w:rsid w:val="00846D40"/>
    <w:rsid w:val="00847407"/>
    <w:rsid w:val="00847CC5"/>
    <w:rsid w:val="00853296"/>
    <w:rsid w:val="00853EF6"/>
    <w:rsid w:val="00855BE7"/>
    <w:rsid w:val="00862151"/>
    <w:rsid w:val="00862972"/>
    <w:rsid w:val="00866AF8"/>
    <w:rsid w:val="00867E1D"/>
    <w:rsid w:val="008703F1"/>
    <w:rsid w:val="008743BC"/>
    <w:rsid w:val="00874610"/>
    <w:rsid w:val="00876CFD"/>
    <w:rsid w:val="008774CB"/>
    <w:rsid w:val="00881CCF"/>
    <w:rsid w:val="0088217C"/>
    <w:rsid w:val="008821DA"/>
    <w:rsid w:val="00890978"/>
    <w:rsid w:val="008909EC"/>
    <w:rsid w:val="00890BB6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0503"/>
    <w:rsid w:val="008D088A"/>
    <w:rsid w:val="008D0F24"/>
    <w:rsid w:val="008D1C00"/>
    <w:rsid w:val="008D2FF5"/>
    <w:rsid w:val="008D32D0"/>
    <w:rsid w:val="008E11F0"/>
    <w:rsid w:val="008E1405"/>
    <w:rsid w:val="008E2490"/>
    <w:rsid w:val="008E4348"/>
    <w:rsid w:val="008E5B79"/>
    <w:rsid w:val="008E78C7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2D84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26F2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1EEC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45797"/>
    <w:rsid w:val="00A552AF"/>
    <w:rsid w:val="00A604BD"/>
    <w:rsid w:val="00A64CD1"/>
    <w:rsid w:val="00A65616"/>
    <w:rsid w:val="00A660D9"/>
    <w:rsid w:val="00A6756D"/>
    <w:rsid w:val="00A72BDC"/>
    <w:rsid w:val="00A73667"/>
    <w:rsid w:val="00A7616F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15F3"/>
    <w:rsid w:val="00B224CE"/>
    <w:rsid w:val="00B23C2D"/>
    <w:rsid w:val="00B25C1A"/>
    <w:rsid w:val="00B3011A"/>
    <w:rsid w:val="00B374E4"/>
    <w:rsid w:val="00B37C25"/>
    <w:rsid w:val="00B45ADF"/>
    <w:rsid w:val="00B47426"/>
    <w:rsid w:val="00B56BD1"/>
    <w:rsid w:val="00B57277"/>
    <w:rsid w:val="00B57C2A"/>
    <w:rsid w:val="00B642FD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30D60"/>
    <w:rsid w:val="00C33CAB"/>
    <w:rsid w:val="00C341D0"/>
    <w:rsid w:val="00C35F03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21BF"/>
    <w:rsid w:val="00CB3589"/>
    <w:rsid w:val="00CB3A7A"/>
    <w:rsid w:val="00CB4B70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8F0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4CF8"/>
    <w:rsid w:val="00D2567B"/>
    <w:rsid w:val="00D276E1"/>
    <w:rsid w:val="00D32309"/>
    <w:rsid w:val="00D32FC0"/>
    <w:rsid w:val="00D36BA8"/>
    <w:rsid w:val="00D46F9F"/>
    <w:rsid w:val="00D547CF"/>
    <w:rsid w:val="00D60313"/>
    <w:rsid w:val="00D61E3C"/>
    <w:rsid w:val="00D62CCE"/>
    <w:rsid w:val="00D64CD8"/>
    <w:rsid w:val="00D66DE1"/>
    <w:rsid w:val="00D74DA0"/>
    <w:rsid w:val="00D76E88"/>
    <w:rsid w:val="00D86224"/>
    <w:rsid w:val="00D87E70"/>
    <w:rsid w:val="00D90D37"/>
    <w:rsid w:val="00DA0409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2836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4C34"/>
    <w:rsid w:val="00E27C68"/>
    <w:rsid w:val="00E34B69"/>
    <w:rsid w:val="00E36EE2"/>
    <w:rsid w:val="00E375C8"/>
    <w:rsid w:val="00E45F1C"/>
    <w:rsid w:val="00E602DF"/>
    <w:rsid w:val="00E63FD8"/>
    <w:rsid w:val="00E641CE"/>
    <w:rsid w:val="00E64924"/>
    <w:rsid w:val="00E67435"/>
    <w:rsid w:val="00E71F28"/>
    <w:rsid w:val="00E72A1C"/>
    <w:rsid w:val="00E73531"/>
    <w:rsid w:val="00E7785A"/>
    <w:rsid w:val="00E80FCA"/>
    <w:rsid w:val="00E81277"/>
    <w:rsid w:val="00E81750"/>
    <w:rsid w:val="00E83272"/>
    <w:rsid w:val="00E85459"/>
    <w:rsid w:val="00E90CBA"/>
    <w:rsid w:val="00E918E3"/>
    <w:rsid w:val="00E92AA6"/>
    <w:rsid w:val="00E93BF4"/>
    <w:rsid w:val="00E95726"/>
    <w:rsid w:val="00E979EF"/>
    <w:rsid w:val="00EA27C4"/>
    <w:rsid w:val="00EA2ED0"/>
    <w:rsid w:val="00EA3285"/>
    <w:rsid w:val="00EA3A08"/>
    <w:rsid w:val="00EA4E4B"/>
    <w:rsid w:val="00EA6144"/>
    <w:rsid w:val="00EB38B9"/>
    <w:rsid w:val="00EC0234"/>
    <w:rsid w:val="00EC0BC5"/>
    <w:rsid w:val="00EC0BF7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48B1"/>
    <w:rsid w:val="00EE5934"/>
    <w:rsid w:val="00EE72FB"/>
    <w:rsid w:val="00EE7A4B"/>
    <w:rsid w:val="00EF05DA"/>
    <w:rsid w:val="00EF09E9"/>
    <w:rsid w:val="00EF1C1D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28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145"/>
    <w:rsid w:val="00FA25BC"/>
    <w:rsid w:val="00FA2655"/>
    <w:rsid w:val="00FA6A59"/>
    <w:rsid w:val="00FB13B6"/>
    <w:rsid w:val="00FB25AE"/>
    <w:rsid w:val="00FC0D0A"/>
    <w:rsid w:val="00FC3E75"/>
    <w:rsid w:val="00FC4235"/>
    <w:rsid w:val="00FD2BCB"/>
    <w:rsid w:val="00FD30B8"/>
    <w:rsid w:val="00FD5BEB"/>
    <w:rsid w:val="00FE28B5"/>
    <w:rsid w:val="00FF0AB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144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b458be9-b550-4a56-b51d-c79a4ec8d2f7"/>
    <ds:schemaRef ds:uri="0eebdf87-e1c6-46f8-8e04-deced2156cc9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BA5D4F-BF6D-4FE8-A90D-63A76A91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4</cp:revision>
  <cp:lastPrinted>2020-10-19T18:43:00Z</cp:lastPrinted>
  <dcterms:created xsi:type="dcterms:W3CDTF">2021-12-16T00:53:00Z</dcterms:created>
  <dcterms:modified xsi:type="dcterms:W3CDTF">2021-12-16T20:31:00Z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