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630E0C68" w:rsidR="00393EC8" w:rsidRPr="00F86CCD" w:rsidRDefault="00EE36BC" w:rsidP="002B05E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2B05E6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2B05E6">
              <w:rPr>
                <w:rFonts w:ascii="Arial" w:hAnsi="Arial" w:cs="Arial"/>
                <w:sz w:val="22"/>
                <w:szCs w:val="22"/>
              </w:rPr>
              <w:t>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64DC671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431F4">
              <w:rPr>
                <w:rFonts w:ascii="Arial" w:hAnsi="Arial" w:cs="Arial"/>
                <w:sz w:val="22"/>
                <w:szCs w:val="22"/>
              </w:rPr>
              <w:t>09/02/2022</w:t>
            </w:r>
          </w:p>
        </w:tc>
        <w:tc>
          <w:tcPr>
            <w:tcW w:w="1311" w:type="pct"/>
            <w:gridSpan w:val="2"/>
          </w:tcPr>
          <w:p w14:paraId="6AC1F1F9" w14:textId="0ABCFDE0" w:rsidR="00393EC8" w:rsidRPr="00642381" w:rsidRDefault="00DD02C2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0532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F6C7414" w:rsidR="00393EC8" w:rsidRPr="0082106A" w:rsidRDefault="00393EC8" w:rsidP="00EA013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</w:tr>
      <w:tr w:rsidR="001D08C2" w:rsidRPr="00642381" w14:paraId="1735C8F8" w14:textId="77777777" w:rsidTr="00AE356C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F676FEF" w:rsidR="001D08C2" w:rsidRPr="00B7460C" w:rsidRDefault="00CA1D47" w:rsidP="00D40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905325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D40A31">
              <w:rPr>
                <w:rFonts w:ascii="Arial" w:hAnsi="Arial" w:cs="Arial"/>
                <w:b/>
                <w:sz w:val="16"/>
                <w:szCs w:val="16"/>
              </w:rPr>
              <w:t>Significant</w:t>
            </w:r>
            <w:r w:rsidR="00AE356C">
              <w:rPr>
                <w:rFonts w:ascii="Arial" w:hAnsi="Arial" w:cs="Arial"/>
                <w:b/>
                <w:sz w:val="16"/>
                <w:szCs w:val="16"/>
              </w:rPr>
              <w:t xml:space="preserve"> Risks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7A4A7659" w:rsidR="00DD564A" w:rsidRDefault="006D6B41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027017AF" w:rsidR="00DD564A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A856D67" w14:textId="3F4B74F2" w:rsidR="00DD564A" w:rsidRDefault="002B05E6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3B891926" w:rsidR="00EA0134" w:rsidRDefault="00EA0134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1D79BCF" w14:textId="67CCA143" w:rsidR="00EA0134" w:rsidRDefault="002B05E6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BF6EB6" w14:textId="07303606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19/2022</w:t>
            </w:r>
          </w:p>
        </w:tc>
        <w:tc>
          <w:tcPr>
            <w:tcW w:w="469" w:type="pct"/>
          </w:tcPr>
          <w:p w14:paraId="3006F3CA" w14:textId="1F4FED3E" w:rsidR="00905325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5C364A7" w14:textId="44B26D28" w:rsidR="00905325" w:rsidRDefault="00315278" w:rsidP="002B05E6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2B05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5E33A78B" w14:textId="15C7074C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07/15/2022</w:t>
            </w:r>
          </w:p>
        </w:tc>
        <w:tc>
          <w:tcPr>
            <w:tcW w:w="469" w:type="pct"/>
          </w:tcPr>
          <w:p w14:paraId="7EAF5968" w14:textId="44D6E3C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805E9C9" w14:textId="6D696704" w:rsidR="00AA0AE0" w:rsidRDefault="002B05E6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1527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672CEBD4" w14:textId="223EBDB8" w:rsidR="004E42F5" w:rsidRDefault="004E42F5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06/08/2022</w:t>
            </w:r>
          </w:p>
        </w:tc>
        <w:tc>
          <w:tcPr>
            <w:tcW w:w="531" w:type="pct"/>
          </w:tcPr>
          <w:p w14:paraId="416023EB" w14:textId="6505C98D" w:rsidR="004E42F5" w:rsidRDefault="004E42F5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07/12/2022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4BEAA228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52AD231" w14:textId="37BE61A4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07/18/2022</w:t>
            </w:r>
          </w:p>
        </w:tc>
        <w:tc>
          <w:tcPr>
            <w:tcW w:w="531" w:type="pct"/>
          </w:tcPr>
          <w:p w14:paraId="16CE88FB" w14:textId="3B28EB97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2C133CE6" w:rsidR="00AA0AE0" w:rsidRDefault="00AA0AE0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774F91D8" w14:textId="6DDDCEB2" w:rsidR="00BB639B" w:rsidRDefault="005E0CC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531" w:type="pct"/>
          </w:tcPr>
          <w:p w14:paraId="429AF651" w14:textId="55731A58" w:rsidR="00BB639B" w:rsidRDefault="005E0CC7" w:rsidP="008527F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</w:t>
            </w:r>
            <w:r w:rsidR="008527F6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61A08A0C" w:rsidR="00305760" w:rsidRPr="00DD564A" w:rsidRDefault="002B05E6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FileNet development environment installation and configuration</w:t>
            </w:r>
          </w:p>
        </w:tc>
        <w:tc>
          <w:tcPr>
            <w:tcW w:w="2403" w:type="pct"/>
            <w:shd w:val="clear" w:color="auto" w:fill="auto"/>
          </w:tcPr>
          <w:p w14:paraId="585E4991" w14:textId="59E0D418" w:rsidR="00305760" w:rsidRPr="00DD564A" w:rsidRDefault="002B05E6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FileNet test environment installation and configuration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7B3833E3" w:rsidR="00305760" w:rsidRDefault="000F49CA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activities completed</w:t>
            </w:r>
          </w:p>
        </w:tc>
        <w:tc>
          <w:tcPr>
            <w:tcW w:w="2403" w:type="pct"/>
            <w:shd w:val="clear" w:color="auto" w:fill="auto"/>
          </w:tcPr>
          <w:p w14:paraId="5399052B" w14:textId="790601CE" w:rsidR="00305760" w:rsidRPr="00DD564A" w:rsidRDefault="00305760" w:rsidP="00315278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0FE576F1" w:rsidR="00305760" w:rsidRDefault="000F49CA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Infrastructure activities completed</w:t>
            </w:r>
            <w:bookmarkStart w:id="1" w:name="_GoBack"/>
            <w:bookmarkEnd w:id="1"/>
          </w:p>
        </w:tc>
        <w:tc>
          <w:tcPr>
            <w:tcW w:w="2403" w:type="pct"/>
            <w:shd w:val="clear" w:color="auto" w:fill="auto"/>
          </w:tcPr>
          <w:p w14:paraId="0CF4DFB0" w14:textId="4F7B001B" w:rsidR="00305760" w:rsidRDefault="00305760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3AFF0819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45248E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044F145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34085" w14:paraId="5D22C016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C02AB5C" w14:textId="0312F8CF" w:rsidR="00134085" w:rsidRDefault="00134085" w:rsidP="00134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 The vendor can work on the test environment before finishing the development environment upgrade. Should they do so?</w:t>
            </w:r>
          </w:p>
        </w:tc>
        <w:tc>
          <w:tcPr>
            <w:tcW w:w="671" w:type="pct"/>
          </w:tcPr>
          <w:p w14:paraId="4D74B6DF" w14:textId="11DA5DFD" w:rsidR="00134085" w:rsidRDefault="00134085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19869AC" w14:textId="650AE9B6" w:rsidR="00134085" w:rsidRDefault="00134085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Yes, we can continue work in test while the Initiative-158 blocker remains in place.</w:t>
            </w:r>
          </w:p>
        </w:tc>
        <w:tc>
          <w:tcPr>
            <w:tcW w:w="1374" w:type="pct"/>
          </w:tcPr>
          <w:p w14:paraId="1F1AAB1A" w14:textId="352D323F" w:rsidR="00134085" w:rsidRDefault="00134085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80" w:type="pct"/>
          </w:tcPr>
          <w:p w14:paraId="6BFFCEB4" w14:textId="77777777" w:rsidR="00087104" w:rsidRDefault="00EA71A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</w:t>
            </w:r>
            <w:r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282F31BE" w14:textId="3D125E56" w:rsidR="00E20BE0" w:rsidRPr="00E20BE0" w:rsidRDefault="00E20BE0" w:rsidP="00E20B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An approved v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endor support contract</w:t>
            </w: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lowers impact from Moderate to Low.</w:t>
            </w:r>
          </w:p>
        </w:tc>
      </w:tr>
      <w:tr w:rsidR="00D10C1D" w14:paraId="21ABCA5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CB766A3" w14:textId="2AD17E53" w:rsidR="00D10C1D" w:rsidRDefault="00C431F4" w:rsidP="00C43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Initiative-158 (Replace Silverlight) may delay this project’s scheduled completion.</w:t>
            </w:r>
          </w:p>
        </w:tc>
        <w:tc>
          <w:tcPr>
            <w:tcW w:w="671" w:type="pct"/>
          </w:tcPr>
          <w:p w14:paraId="62E94B3D" w14:textId="6653E73B" w:rsidR="00D10C1D" w:rsidRDefault="00315278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AF83CB3" w14:textId="088C06B3" w:rsidR="00D10C1D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0E7902C4" w14:textId="77777777" w:rsidR="00D10C1D" w:rsidRDefault="0038786B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- </w:t>
            </w:r>
            <w:r w:rsidRPr="002B05E6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The vendor for Initiative-158 missed a milestone that blocks progress on Initiative-147. The impacts to Initiative-147 milestones are be analyzed. Any updates will be reflected on the May status report.</w:t>
            </w:r>
          </w:p>
          <w:p w14:paraId="103D7B31" w14:textId="2D529C68" w:rsidR="002B05E6" w:rsidRPr="002B05E6" w:rsidRDefault="002B05E6" w:rsidP="008672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Since the April status report, the date for the initiative-158 blocking milestone has been moved to late May. </w:t>
            </w:r>
            <w:r w:rsidR="008672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Once this milestone has been </w:t>
            </w:r>
            <w:r w:rsidR="0086723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completed, the impact to initiative-147 will be analyzed.</w:t>
            </w:r>
          </w:p>
        </w:tc>
      </w:tr>
      <w:tr w:rsidR="00C431F4" w14:paraId="0D365FB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43A7C899" w:rsidR="00C431F4" w:rsidRDefault="00C431F4" w:rsidP="0031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Scheduling conflicts with Initiative-1</w:t>
            </w:r>
            <w:r w:rsidR="00315278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Sunset IE Support) may delay this project’s milestones, including the </w:t>
            </w:r>
            <w:r>
              <w:rPr>
                <w:rFonts w:ascii="Arial" w:hAnsi="Arial" w:cs="Arial"/>
                <w:sz w:val="22"/>
                <w:szCs w:val="22"/>
              </w:rPr>
              <w:t>scheduled completion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6C44246D" w14:textId="015319BF" w:rsidR="00C431F4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266ED09" w:rsidR="00B57277" w:rsidRPr="00B57277" w:rsidRDefault="00315278" w:rsidP="003152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</w:t>
            </w:r>
          </w:p>
        </w:tc>
        <w:tc>
          <w:tcPr>
            <w:tcW w:w="659" w:type="pct"/>
          </w:tcPr>
          <w:p w14:paraId="12F099B7" w14:textId="43E0989E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3345B4A8" w14:textId="735A604A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5F0C85" w14:textId="77777777" w:rsidR="00B57277" w:rsidRDefault="0038786B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- 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The vendor for Initiative-158 missed a milestone that blocks progress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on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Initiative-147.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The impacts to Initiative-147 </w:t>
            </w:r>
            <w:r w:rsidRPr="0086723F">
              <w:rPr>
                <w:rFonts w:ascii="Arial" w:hAnsi="Arial" w:cs="Arial"/>
                <w:strike/>
                <w:sz w:val="22"/>
                <w:szCs w:val="22"/>
              </w:rPr>
              <w:t>“</w:t>
            </w:r>
            <w:r w:rsidRPr="0086723F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Upgrade development environment complete”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milestones are be analyzed. Any updates will be reflected on the May status report.</w:t>
            </w:r>
          </w:p>
          <w:p w14:paraId="14306D32" w14:textId="490B08BD" w:rsidR="0086723F" w:rsidRDefault="0086723F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Since the April status report, the date for the initiative-158 blocking milestone has been moved to late May. Once this milestone has been completed, the impact to initiative-147 will be analyzed.</w:t>
            </w: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C716" w14:textId="77777777" w:rsidR="00DD1121" w:rsidRDefault="00DD1121">
      <w:r>
        <w:separator/>
      </w:r>
    </w:p>
  </w:endnote>
  <w:endnote w:type="continuationSeparator" w:id="0">
    <w:p w14:paraId="37649EE2" w14:textId="77777777" w:rsidR="00DD1121" w:rsidRDefault="00D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5773CB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B05E6">
          <w:rPr>
            <w:rFonts w:ascii="Arial" w:hAnsi="Arial" w:cs="Arial"/>
            <w:i/>
            <w:noProof/>
            <w:sz w:val="20"/>
            <w:szCs w:val="20"/>
          </w:rPr>
          <w:t>5/3/2022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F49CA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E0E5" w14:textId="77777777" w:rsidR="00DD1121" w:rsidRDefault="00DD1121">
      <w:r>
        <w:separator/>
      </w:r>
    </w:p>
  </w:footnote>
  <w:footnote w:type="continuationSeparator" w:id="0">
    <w:p w14:paraId="330B37FF" w14:textId="77777777" w:rsidR="00DD1121" w:rsidRDefault="00DD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0FALZAnFg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3B3C"/>
    <w:rsid w:val="000D4A64"/>
    <w:rsid w:val="000E5168"/>
    <w:rsid w:val="000F1EF5"/>
    <w:rsid w:val="000F4796"/>
    <w:rsid w:val="000F49CA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085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05E6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5278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8786B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87A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872CD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6B41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151"/>
    <w:rsid w:val="00862972"/>
    <w:rsid w:val="0086723F"/>
    <w:rsid w:val="00870777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250A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91604"/>
    <w:rsid w:val="00DA0409"/>
    <w:rsid w:val="00DA5B50"/>
    <w:rsid w:val="00DB236C"/>
    <w:rsid w:val="00DB5273"/>
    <w:rsid w:val="00DB7AC5"/>
    <w:rsid w:val="00DC5A2D"/>
    <w:rsid w:val="00DD02C2"/>
    <w:rsid w:val="00DD1121"/>
    <w:rsid w:val="00DD148F"/>
    <w:rsid w:val="00DD2715"/>
    <w:rsid w:val="00DD2C4C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79A711-73C5-4076-927F-242632E5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16</cp:revision>
  <cp:lastPrinted>2020-09-16T22:45:00Z</cp:lastPrinted>
  <dcterms:created xsi:type="dcterms:W3CDTF">2022-02-03T20:07:00Z</dcterms:created>
  <dcterms:modified xsi:type="dcterms:W3CDTF">2022-05-03T15:24:00Z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