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proofErr w:type="spellStart"/>
            <w:r w:rsidR="00E24423">
              <w:rPr>
                <w:rFonts w:ascii="Arial" w:hAnsi="Arial"/>
                <w:sz w:val="22"/>
                <w:szCs w:val="22"/>
              </w:rPr>
              <w:t>Sunsetting</w:t>
            </w:r>
            <w:proofErr w:type="spellEnd"/>
            <w:r w:rsidR="00E24423">
              <w:rPr>
                <w:rFonts w:ascii="Arial" w:hAnsi="Arial"/>
                <w:sz w:val="22"/>
                <w:szCs w:val="22"/>
              </w:rPr>
              <w:t xml:space="preserve"> IE Support</w:t>
            </w:r>
          </w:p>
          <w:p w14:paraId="00232641" w14:textId="4554C32B" w:rsidR="00393EC8" w:rsidRPr="00F86CCD" w:rsidRDefault="00EE36BC" w:rsidP="0026786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48AB">
              <w:rPr>
                <w:rFonts w:ascii="Arial" w:hAnsi="Arial" w:cs="Arial"/>
                <w:sz w:val="22"/>
                <w:szCs w:val="22"/>
              </w:rPr>
              <w:t>10/03/2022</w:t>
            </w:r>
            <w:bookmarkStart w:id="0" w:name="_GoBack"/>
            <w:bookmarkEnd w:id="0"/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0BDC5AE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B2B1E">
              <w:rPr>
                <w:rFonts w:ascii="Arial" w:hAnsi="Arial" w:cs="Arial"/>
                <w:sz w:val="22"/>
                <w:szCs w:val="20"/>
              </w:rPr>
              <w:t>Kerri Stewart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1EDAB330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06/2023</w:t>
            </w:r>
          </w:p>
        </w:tc>
        <w:tc>
          <w:tcPr>
            <w:tcW w:w="1311" w:type="pct"/>
            <w:gridSpan w:val="2"/>
          </w:tcPr>
          <w:p w14:paraId="6AC1F1F9" w14:textId="44610818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F26E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2EDC3F34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5F26E5">
              <w:rPr>
                <w:rFonts w:ascii="Arial" w:hAnsi="Arial" w:cs="Arial"/>
                <w:sz w:val="22"/>
                <w:szCs w:val="22"/>
              </w:rPr>
              <w:t>e) before end of support 6/15/23</w:t>
            </w:r>
          </w:p>
        </w:tc>
      </w:tr>
      <w:tr w:rsidR="001D08C2" w:rsidRPr="00642381" w14:paraId="1735C8F8" w14:textId="77777777" w:rsidTr="005F26E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17EB89F1" w:rsidR="001D08C2" w:rsidRPr="00B7460C" w:rsidRDefault="006B2B1E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Project Delayed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5F26E5" w:rsidRPr="00642381" w14:paraId="7AAA3EB6" w14:textId="77777777" w:rsidTr="00DC5A2D">
        <w:trPr>
          <w:trHeight w:val="272"/>
        </w:trPr>
        <w:tc>
          <w:tcPr>
            <w:tcW w:w="1593" w:type="pct"/>
          </w:tcPr>
          <w:p w14:paraId="1DCCE51F" w14:textId="0935B43A" w:rsidR="005F26E5" w:rsidRPr="00F26EEB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3767C8" w:rsidRPr="00F26EEB">
              <w:rPr>
                <w:rFonts w:ascii="Arial" w:hAnsi="Arial" w:cs="Arial"/>
                <w:color w:val="000000"/>
                <w:sz w:val="22"/>
                <w:szCs w:val="22"/>
              </w:rPr>
              <w:t xml:space="preserve"> (Revisited)</w:t>
            </w:r>
          </w:p>
        </w:tc>
        <w:tc>
          <w:tcPr>
            <w:tcW w:w="500" w:type="pct"/>
          </w:tcPr>
          <w:p w14:paraId="587E92A7" w14:textId="06CFC847" w:rsidR="005F26E5" w:rsidRPr="00F26EEB" w:rsidRDefault="005F26E5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09/01/2022</w:t>
            </w:r>
          </w:p>
        </w:tc>
        <w:tc>
          <w:tcPr>
            <w:tcW w:w="531" w:type="pct"/>
          </w:tcPr>
          <w:p w14:paraId="0ACCF9F2" w14:textId="75CD6B32" w:rsidR="005F26E5" w:rsidRPr="00F26EEB" w:rsidRDefault="003767C8" w:rsidP="005F26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11/15/2022</w:t>
            </w:r>
          </w:p>
        </w:tc>
        <w:tc>
          <w:tcPr>
            <w:tcW w:w="469" w:type="pct"/>
          </w:tcPr>
          <w:p w14:paraId="749D7441" w14:textId="20FA3E40" w:rsidR="005F26E5" w:rsidRPr="00F26EEB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781DC6B" w14:textId="291D19AA" w:rsidR="005F26E5" w:rsidRPr="00F26EEB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437" w:type="pct"/>
            <w:shd w:val="clear" w:color="auto" w:fill="FFFFFF" w:themeFill="background1"/>
          </w:tcPr>
          <w:p w14:paraId="1302839C" w14:textId="77777777" w:rsidR="005F26E5" w:rsidRDefault="005F26E5" w:rsidP="0059126D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EB">
              <w:rPr>
                <w:rFonts w:ascii="Arial" w:hAnsi="Arial" w:cs="Arial"/>
                <w:color w:val="000000"/>
                <w:sz w:val="20"/>
                <w:szCs w:val="20"/>
              </w:rPr>
              <w:t>The pla</w:t>
            </w:r>
            <w:r w:rsidR="003767C8" w:rsidRPr="00F26EEB">
              <w:rPr>
                <w:rFonts w:ascii="Arial" w:hAnsi="Arial" w:cs="Arial"/>
                <w:color w:val="000000"/>
                <w:sz w:val="20"/>
                <w:szCs w:val="20"/>
              </w:rPr>
              <w:t>nning tasks</w:t>
            </w:r>
            <w:r w:rsidR="002153D0" w:rsidRPr="00F26EEB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to be revisited due to the testing </w:t>
            </w:r>
            <w:r w:rsidR="0059126D" w:rsidRPr="00F26EEB">
              <w:rPr>
                <w:rFonts w:ascii="Arial" w:hAnsi="Arial" w:cs="Arial"/>
                <w:color w:val="000000"/>
                <w:sz w:val="20"/>
                <w:szCs w:val="20"/>
              </w:rPr>
              <w:t xml:space="preserve">criteria not being met and outstanding issues that still need to be resolved.  Exploring options to implement the group </w:t>
            </w:r>
            <w:proofErr w:type="spellStart"/>
            <w:r w:rsidR="0059126D" w:rsidRPr="00F26EEB">
              <w:rPr>
                <w:rFonts w:ascii="Arial" w:hAnsi="Arial" w:cs="Arial"/>
                <w:color w:val="000000"/>
                <w:sz w:val="20"/>
                <w:szCs w:val="20"/>
              </w:rPr>
              <w:t>policys</w:t>
            </w:r>
            <w:proofErr w:type="spellEnd"/>
            <w:r w:rsidR="0059126D" w:rsidRPr="00F26EEB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the applications that successfully tested in Edge, without the IE redirection, and creating a new project for the outstanding applications that are not working in Edge.</w:t>
            </w:r>
          </w:p>
          <w:p w14:paraId="2BF1E9FC" w14:textId="70EA0435" w:rsidR="00F26EEB" w:rsidRPr="00F26EEB" w:rsidRDefault="00F26EEB" w:rsidP="0059126D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E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Steps have begun to roll out the successful</w:t>
            </w:r>
            <w:r w:rsidR="00A4513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ly</w:t>
            </w:r>
            <w:r w:rsidRPr="00F26EE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tested apps/links to </w:t>
            </w:r>
            <w:proofErr w:type="gramStart"/>
            <w:r w:rsidRPr="00F26EE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 a</w:t>
            </w:r>
            <w:proofErr w:type="gramEnd"/>
            <w:r w:rsidRPr="00F26EE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new group policy that will be rolled out to all District staff.</w:t>
            </w:r>
          </w:p>
        </w:tc>
      </w:tr>
      <w:tr w:rsidR="005F26E5" w:rsidRPr="00642381" w14:paraId="14DD9364" w14:textId="77777777" w:rsidTr="00655A12">
        <w:trPr>
          <w:trHeight w:val="272"/>
        </w:trPr>
        <w:tc>
          <w:tcPr>
            <w:tcW w:w="1593" w:type="pct"/>
          </w:tcPr>
          <w:p w14:paraId="4E794729" w14:textId="3E70E7E9" w:rsidR="005F26E5" w:rsidRPr="00970564" w:rsidRDefault="005F26E5" w:rsidP="005F26E5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5F26E5" w:rsidRPr="00970564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  <w:shd w:val="clear" w:color="auto" w:fill="auto"/>
          </w:tcPr>
          <w:p w14:paraId="63AEB439" w14:textId="1158E15C" w:rsidR="005F26E5" w:rsidRPr="00655A12" w:rsidRDefault="005F26E5" w:rsidP="005F26E5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5F26E5" w:rsidRPr="0097056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62DE7810" w:rsidR="005F26E5" w:rsidRPr="00970564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5F26E5" w:rsidRDefault="005F26E5" w:rsidP="005F26E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26E5" w:rsidRPr="00642381" w14:paraId="08BEC8C2" w14:textId="77777777" w:rsidTr="00655A12">
        <w:trPr>
          <w:trHeight w:val="272"/>
        </w:trPr>
        <w:tc>
          <w:tcPr>
            <w:tcW w:w="1593" w:type="pct"/>
          </w:tcPr>
          <w:p w14:paraId="156BF9B6" w14:textId="27A95DC8" w:rsidR="005F26E5" w:rsidRPr="00F26EEB" w:rsidRDefault="005F26E5" w:rsidP="005F26E5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</w:pPr>
            <w:proofErr w:type="spellStart"/>
            <w:r w:rsidRPr="00F26EEB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Kofax</w:t>
            </w:r>
            <w:proofErr w:type="spellEnd"/>
            <w:r w:rsidRPr="00F26EEB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 xml:space="preserve"> Upgrade from 7.4 to 7.9</w:t>
            </w:r>
          </w:p>
        </w:tc>
        <w:tc>
          <w:tcPr>
            <w:tcW w:w="500" w:type="pct"/>
          </w:tcPr>
          <w:p w14:paraId="6A577A94" w14:textId="1ED4CE76" w:rsidR="005F26E5" w:rsidRPr="00F26EEB" w:rsidRDefault="00AA73FF" w:rsidP="005F26E5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</w:pPr>
            <w:r w:rsidRPr="00F26EEB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531" w:type="pct"/>
            <w:shd w:val="clear" w:color="auto" w:fill="auto"/>
          </w:tcPr>
          <w:p w14:paraId="39067A33" w14:textId="512F685A" w:rsidR="005F26E5" w:rsidRPr="00F26EEB" w:rsidRDefault="00AA73FF" w:rsidP="005F26E5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</w:pPr>
            <w:r w:rsidRPr="00F26EEB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469" w:type="pct"/>
          </w:tcPr>
          <w:p w14:paraId="488AC8B9" w14:textId="77777777" w:rsidR="005F26E5" w:rsidRPr="00F26EEB" w:rsidRDefault="005F26E5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</w:pPr>
          </w:p>
        </w:tc>
        <w:tc>
          <w:tcPr>
            <w:tcW w:w="469" w:type="pct"/>
          </w:tcPr>
          <w:p w14:paraId="0F434504" w14:textId="09992883" w:rsidR="005F26E5" w:rsidRPr="00F26EEB" w:rsidRDefault="00AA73FF" w:rsidP="005F26E5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</w:pPr>
            <w:r w:rsidRPr="00F26EEB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1437" w:type="pct"/>
            <w:shd w:val="clear" w:color="auto" w:fill="FFFFFF" w:themeFill="background1"/>
          </w:tcPr>
          <w:p w14:paraId="22BB5BD5" w14:textId="77CDA524" w:rsidR="005F26E5" w:rsidRPr="00F26EEB" w:rsidRDefault="00F26EEB" w:rsidP="00F26EEB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26EEB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The </w:t>
            </w:r>
            <w:proofErr w:type="spellStart"/>
            <w:r w:rsidRPr="00F26EEB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>Kofax</w:t>
            </w:r>
            <w:proofErr w:type="spellEnd"/>
            <w:r w:rsidR="00AA73FF" w:rsidRPr="00F26EEB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 upgrade </w:t>
            </w:r>
            <w:r w:rsidRPr="00F26EEB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>has been partnered with the FileNet Upgrade and will no longer be reported on this status.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62F3E6AC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328FD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72840101" w:rsidR="00F26C5D" w:rsidRPr="00F26EEB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59" w:type="pct"/>
            <w:shd w:val="clear" w:color="auto" w:fill="auto"/>
          </w:tcPr>
          <w:p w14:paraId="56BCC5BA" w14:textId="6AF0DE1C" w:rsidR="004F3D5D" w:rsidRPr="00F26EEB" w:rsidRDefault="00B57605" w:rsidP="001654AD">
            <w:pPr>
              <w:pStyle w:val="ListParagraph"/>
              <w:numPr>
                <w:ilvl w:val="0"/>
                <w:numId w:val="25"/>
              </w:numPr>
              <w:ind w:left="612" w:right="288" w:hanging="270"/>
              <w:rPr>
                <w:rFonts w:ascii="Arial" w:hAnsi="Arial" w:cs="Arial"/>
                <w:sz w:val="22"/>
                <w:szCs w:val="22"/>
              </w:rPr>
            </w:pPr>
            <w:r w:rsidRPr="00F26EEB">
              <w:rPr>
                <w:rFonts w:ascii="Arial" w:hAnsi="Arial" w:cs="Arial"/>
                <w:sz w:val="22"/>
                <w:szCs w:val="22"/>
                <w:highlight w:val="yellow"/>
              </w:rPr>
              <w:t>Identified outstanding apps/links that</w:t>
            </w:r>
            <w:r w:rsidR="00F26EEB" w:rsidRPr="00F26E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require</w:t>
            </w:r>
            <w:r w:rsidRPr="00F26EE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remediation to work with Edge.</w:t>
            </w:r>
          </w:p>
          <w:p w14:paraId="635F4170" w14:textId="55591D10" w:rsidR="001609CE" w:rsidRPr="00F26EEB" w:rsidRDefault="001609CE" w:rsidP="001609CE">
            <w:pPr>
              <w:ind w:left="342" w:right="288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3" w:type="pct"/>
            <w:shd w:val="clear" w:color="auto" w:fill="auto"/>
          </w:tcPr>
          <w:p w14:paraId="5BFB7F9E" w14:textId="77777777" w:rsidR="002168FE" w:rsidRPr="00F26EEB" w:rsidRDefault="00F26EEB" w:rsidP="00F26EEB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EEB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Roll out the configuration for app/links that successfully work on Edge and reset the configuration for apps/links that didn’t work in Edge.  The reset being the configuration prior to testing Edge.</w:t>
            </w:r>
          </w:p>
          <w:p w14:paraId="33ECB3F4" w14:textId="27524653" w:rsidR="00F26EEB" w:rsidRDefault="00F26EEB" w:rsidP="00F26EEB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86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Implement to all district staff</w:t>
            </w:r>
          </w:p>
          <w:p w14:paraId="585E4991" w14:textId="4921A0AF" w:rsidR="00F26EEB" w:rsidRPr="00873865" w:rsidRDefault="00F26EEB" w:rsidP="00873865">
            <w:pPr>
              <w:pStyle w:val="ListParagraph"/>
              <w:numPr>
                <w:ilvl w:val="0"/>
                <w:numId w:val="25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86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lastRenderedPageBreak/>
              <w:t>Plan the remediation, testing and roll out for the app/links that don’t work in Edge</w:t>
            </w:r>
          </w:p>
        </w:tc>
      </w:tr>
    </w:tbl>
    <w:p w14:paraId="30D59D2A" w14:textId="2A6F430F" w:rsidR="00423FF8" w:rsidRPr="001654AD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Pr="001654AD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1654AD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Completed Tasks This 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Planned Activities for Next 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10E365D8" w:rsidR="003F2E94" w:rsidRDefault="003F2E94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75123D64" w14:textId="3CE3F965" w:rsidR="00493B5D" w:rsidRPr="00F26EEB" w:rsidRDefault="00493B5D" w:rsidP="00F26EEB">
            <w:p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3" w:type="pct"/>
            <w:shd w:val="clear" w:color="auto" w:fill="auto"/>
          </w:tcPr>
          <w:p w14:paraId="57CA2CF2" w14:textId="6A398D05" w:rsidR="0010161D" w:rsidRPr="00F26EEB" w:rsidRDefault="0010161D" w:rsidP="00F26EEB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D6A1A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3EB2591" w:rsidR="00423FF8" w:rsidRPr="00B57605" w:rsidRDefault="00F251AF" w:rsidP="00E31889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color w:val="172B4D"/>
                <w:spacing w:val="-2"/>
                <w:sz w:val="20"/>
                <w:szCs w:val="20"/>
                <w:highlight w:val="yellow"/>
              </w:rPr>
            </w:pPr>
            <w:proofErr w:type="spellStart"/>
            <w:r w:rsidRPr="00B57605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Kofax</w:t>
            </w:r>
            <w:proofErr w:type="spellEnd"/>
            <w:r w:rsidRPr="00B57605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 xml:space="preserve"> will be upgraded </w:t>
            </w:r>
            <w:r w:rsidR="00AA73FF" w:rsidRPr="00B57605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with Init-147 (</w:t>
            </w:r>
            <w:hyperlink r:id="rId14" w:history="1">
              <w:r w:rsidR="00AA73FF" w:rsidRPr="00B57605">
                <w:rPr>
                  <w:rStyle w:val="Hyperlink"/>
                  <w:rFonts w:ascii="Arial" w:hAnsi="Arial" w:cs="Arial"/>
                  <w:bCs/>
                  <w:color w:val="auto"/>
                  <w:spacing w:val="-2"/>
                  <w:sz w:val="20"/>
                  <w:szCs w:val="20"/>
                  <w:highlight w:val="yellow"/>
                </w:rPr>
                <w:t>Upgrade FileNet 5.2.1.6 Home Page</w:t>
              </w:r>
            </w:hyperlink>
            <w:r w:rsidR="00AA73FF" w:rsidRPr="00B57605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71" w:type="pct"/>
          </w:tcPr>
          <w:p w14:paraId="14C52846" w14:textId="229043B8" w:rsidR="00423FF8" w:rsidRPr="00B57605" w:rsidRDefault="00E31889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B57605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Dan Boulger/Kerri Stewart</w:t>
            </w:r>
          </w:p>
        </w:tc>
        <w:tc>
          <w:tcPr>
            <w:tcW w:w="750" w:type="pct"/>
          </w:tcPr>
          <w:p w14:paraId="6AA6D022" w14:textId="2CEC4B18" w:rsidR="00423FF8" w:rsidRPr="00B57605" w:rsidRDefault="00E31889" w:rsidP="00E3188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change will assist in testing </w:t>
            </w:r>
            <w:proofErr w:type="spellStart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>Filenet</w:t>
            </w:r>
            <w:proofErr w:type="spellEnd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</w:t>
            </w:r>
            <w:proofErr w:type="spellStart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>Kofax</w:t>
            </w:r>
            <w:proofErr w:type="spellEnd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together </w:t>
            </w:r>
          </w:p>
        </w:tc>
        <w:tc>
          <w:tcPr>
            <w:tcW w:w="1374" w:type="pct"/>
            <w:shd w:val="clear" w:color="auto" w:fill="auto"/>
          </w:tcPr>
          <w:p w14:paraId="1C8B85DD" w14:textId="7DE6859B" w:rsidR="00423FF8" w:rsidRPr="00B57605" w:rsidRDefault="00E31889" w:rsidP="00E31889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B57605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N</w:t>
            </w:r>
            <w:r w:rsidR="003F2E94" w:rsidRPr="00B57605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 xml:space="preserve">o further updates will be </w:t>
            </w:r>
            <w:r w:rsidRPr="00B57605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 xml:space="preserve">provided in this section for </w:t>
            </w:r>
            <w:proofErr w:type="spellStart"/>
            <w:r w:rsidRPr="00B57605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Kofax</w:t>
            </w:r>
            <w:proofErr w:type="spellEnd"/>
            <w:r w:rsidRPr="00B57605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.</w:t>
            </w:r>
          </w:p>
        </w:tc>
      </w:tr>
      <w:tr w:rsidR="00B57605" w14:paraId="46089632" w14:textId="77777777" w:rsidTr="004D6A1A">
        <w:trPr>
          <w:trHeight w:val="120"/>
        </w:trPr>
        <w:tc>
          <w:tcPr>
            <w:tcW w:w="2205" w:type="pct"/>
            <w:shd w:val="clear" w:color="auto" w:fill="auto"/>
          </w:tcPr>
          <w:p w14:paraId="26103187" w14:textId="78C40E13" w:rsidR="00B57605" w:rsidRPr="00B57605" w:rsidRDefault="00B57605" w:rsidP="00E31889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Initiative will be implemented in 2 phases</w:t>
            </w:r>
          </w:p>
        </w:tc>
        <w:tc>
          <w:tcPr>
            <w:tcW w:w="671" w:type="pct"/>
          </w:tcPr>
          <w:p w14:paraId="5648D67E" w14:textId="29C057AC" w:rsidR="00B57605" w:rsidRPr="00B57605" w:rsidRDefault="00B57605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Kerri Stewart</w:t>
            </w:r>
          </w:p>
        </w:tc>
        <w:tc>
          <w:tcPr>
            <w:tcW w:w="750" w:type="pct"/>
          </w:tcPr>
          <w:p w14:paraId="4359806E" w14:textId="0186C369" w:rsidR="00B57605" w:rsidRPr="00B57605" w:rsidRDefault="00B57605" w:rsidP="00E3188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This will get teams on the same configuration</w:t>
            </w:r>
          </w:p>
        </w:tc>
        <w:tc>
          <w:tcPr>
            <w:tcW w:w="1374" w:type="pct"/>
            <w:shd w:val="clear" w:color="auto" w:fill="auto"/>
          </w:tcPr>
          <w:p w14:paraId="5BA0E1F0" w14:textId="16C4107B" w:rsidR="00B57605" w:rsidRPr="00B57605" w:rsidRDefault="00B57605" w:rsidP="00B57605">
            <w:pPr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The successfully tested UAT will be rolled out to all staff in the Districts.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br/>
              <w:t xml:space="preserve">The outstanding UAT is being evaluated for subsequent UAT testing and implementation. 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504D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3B5262C3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</w:t>
            </w:r>
            <w:r w:rsidR="00FF504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- will monitor Init-143/Init-166 schedule</w:t>
            </w:r>
          </w:p>
          <w:p w14:paraId="726411E3" w14:textId="77777777" w:rsidR="003F2E94" w:rsidRPr="00493B5D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</w:t>
            </w:r>
            <w:proofErr w:type="spellEnd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has a work-around for this risk and we are working with Michelle M. on details</w:t>
            </w:r>
          </w:p>
          <w:p w14:paraId="282F31BE" w14:textId="2AB589BF" w:rsidR="00493B5D" w:rsidRPr="003F2E94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: Maximo will be able to use MS Edge – but not IE Compatibility Mode – It will use a feature of MS Edge that allows an IE Window to directly launch the application.</w:t>
            </w: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8D719F5" w:rsidR="00B57277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  <w:r w:rsidR="00B57605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="00B57605" w:rsidRPr="00B57605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Kofax</w:t>
            </w:r>
            <w:proofErr w:type="spellEnd"/>
            <w:r w:rsidR="00B57605" w:rsidRPr="00B57605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is being rolled into the FileNet upgrade.</w:t>
            </w:r>
          </w:p>
        </w:tc>
      </w:tr>
      <w:tr w:rsidR="004D6A1A" w:rsidRPr="004D6A1A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550B1FED" w:rsidR="00D66683" w:rsidRPr="001609CE" w:rsidRDefault="00FF504D" w:rsidP="00FF504D">
            <w:pPr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The SharePoin</w:t>
            </w:r>
            <w:r w:rsidR="004D6A1A" w:rsidRPr="001609CE">
              <w:rPr>
                <w:rFonts w:ascii="Arial" w:hAnsi="Arial" w:cs="Arial"/>
                <w:sz w:val="22"/>
                <w:szCs w:val="22"/>
              </w:rPr>
              <w:t>t upgrade may be delayed due to file share links not working in Edge.</w:t>
            </w:r>
          </w:p>
        </w:tc>
        <w:tc>
          <w:tcPr>
            <w:tcW w:w="661" w:type="pct"/>
          </w:tcPr>
          <w:p w14:paraId="43657A19" w14:textId="5720BD01" w:rsidR="00D66683" w:rsidRPr="001609CE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2709F26A" w14:textId="0CE7C035" w:rsidR="00D66683" w:rsidRPr="001609CE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9CE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43A5A479" w14:textId="22D62BA3" w:rsidR="001609CE" w:rsidRPr="00B57605" w:rsidRDefault="00B57605" w:rsidP="00B576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>Sharepoint</w:t>
            </w:r>
            <w:proofErr w:type="spellEnd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proceed with upgrade according to plan.  The file links will be moved to </w:t>
            </w:r>
            <w:proofErr w:type="spellStart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>sharepoint</w:t>
            </w:r>
            <w:proofErr w:type="spellEnd"/>
            <w:r w:rsidRPr="00B576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links to bypass any Edge issues.</w:t>
            </w:r>
          </w:p>
        </w:tc>
      </w:tr>
    </w:tbl>
    <w:p w14:paraId="44C71B60" w14:textId="5952E920" w:rsidR="005844CB" w:rsidRPr="004D6A1A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06F00BB9" w14:textId="7653B35F" w:rsidR="005844CB" w:rsidRPr="004D6A1A" w:rsidRDefault="005844CB" w:rsidP="005844CB">
      <w:pPr>
        <w:rPr>
          <w:sz w:val="4"/>
          <w:szCs w:val="4"/>
        </w:rPr>
      </w:pPr>
    </w:p>
    <w:sectPr w:rsidR="005844CB" w:rsidRPr="004D6A1A" w:rsidSect="00706649">
      <w:footerReference w:type="default" r:id="rId15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9473" w14:textId="77777777" w:rsidR="00AD79AD" w:rsidRDefault="00AD79AD">
      <w:r>
        <w:separator/>
      </w:r>
    </w:p>
  </w:endnote>
  <w:endnote w:type="continuationSeparator" w:id="0">
    <w:p w14:paraId="37090749" w14:textId="77777777" w:rsidR="00AD79AD" w:rsidRDefault="00A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D19D687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AA73FF">
          <w:rPr>
            <w:rFonts w:ascii="Arial" w:hAnsi="Arial" w:cs="Arial"/>
            <w:i/>
            <w:noProof/>
            <w:sz w:val="20"/>
            <w:szCs w:val="20"/>
          </w:rPr>
          <w:t>10/3/2022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948AB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3BCA" w14:textId="77777777" w:rsidR="00AD79AD" w:rsidRDefault="00AD79AD">
      <w:r>
        <w:separator/>
      </w:r>
    </w:p>
  </w:footnote>
  <w:footnote w:type="continuationSeparator" w:id="0">
    <w:p w14:paraId="1E23EC2C" w14:textId="77777777" w:rsidR="00AD79AD" w:rsidRDefault="00AD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35FC"/>
    <w:multiLevelType w:val="hybridMultilevel"/>
    <w:tmpl w:val="95BC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1C09"/>
    <w:multiLevelType w:val="hybridMultilevel"/>
    <w:tmpl w:val="EC681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72FA"/>
    <w:multiLevelType w:val="hybridMultilevel"/>
    <w:tmpl w:val="7C006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90480"/>
    <w:multiLevelType w:val="hybridMultilevel"/>
    <w:tmpl w:val="89144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7"/>
  </w:num>
  <w:num w:numId="5">
    <w:abstractNumId w:val="11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21"/>
  </w:num>
  <w:num w:numId="11">
    <w:abstractNumId w:val="19"/>
  </w:num>
  <w:num w:numId="12">
    <w:abstractNumId w:val="15"/>
  </w:num>
  <w:num w:numId="13">
    <w:abstractNumId w:val="22"/>
  </w:num>
  <w:num w:numId="14">
    <w:abstractNumId w:val="12"/>
  </w:num>
  <w:num w:numId="15">
    <w:abstractNumId w:val="8"/>
  </w:num>
  <w:num w:numId="16">
    <w:abstractNumId w:val="5"/>
  </w:num>
  <w:num w:numId="17">
    <w:abstractNumId w:val="3"/>
  </w:num>
  <w:num w:numId="18">
    <w:abstractNumId w:val="10"/>
  </w:num>
  <w:num w:numId="19">
    <w:abstractNumId w:val="23"/>
  </w:num>
  <w:num w:numId="20">
    <w:abstractNumId w:val="6"/>
  </w:num>
  <w:num w:numId="21">
    <w:abstractNumId w:val="4"/>
  </w:num>
  <w:num w:numId="22">
    <w:abstractNumId w:val="16"/>
  </w:num>
  <w:num w:numId="23">
    <w:abstractNumId w:val="1"/>
  </w:num>
  <w:num w:numId="24">
    <w:abstractNumId w:val="24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179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34EA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09CE"/>
    <w:rsid w:val="001632A3"/>
    <w:rsid w:val="001642AA"/>
    <w:rsid w:val="001644A5"/>
    <w:rsid w:val="00165466"/>
    <w:rsid w:val="001654AD"/>
    <w:rsid w:val="00165ADC"/>
    <w:rsid w:val="00167328"/>
    <w:rsid w:val="0017088D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32BC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153D0"/>
    <w:rsid w:val="002168FE"/>
    <w:rsid w:val="00226B45"/>
    <w:rsid w:val="00227DC2"/>
    <w:rsid w:val="00230E2E"/>
    <w:rsid w:val="002321AA"/>
    <w:rsid w:val="00233351"/>
    <w:rsid w:val="00233A27"/>
    <w:rsid w:val="002366F0"/>
    <w:rsid w:val="002417AA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67C8"/>
    <w:rsid w:val="00377E2A"/>
    <w:rsid w:val="00383C0A"/>
    <w:rsid w:val="00385750"/>
    <w:rsid w:val="00386E7D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C642C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1774"/>
    <w:rsid w:val="00434D0B"/>
    <w:rsid w:val="00434E23"/>
    <w:rsid w:val="00437A6E"/>
    <w:rsid w:val="00444C78"/>
    <w:rsid w:val="00445EDA"/>
    <w:rsid w:val="00454B97"/>
    <w:rsid w:val="00454BF0"/>
    <w:rsid w:val="00457463"/>
    <w:rsid w:val="00457538"/>
    <w:rsid w:val="00460D7E"/>
    <w:rsid w:val="00464878"/>
    <w:rsid w:val="0046669F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D6A1A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3D5D"/>
    <w:rsid w:val="004F6E93"/>
    <w:rsid w:val="004F722D"/>
    <w:rsid w:val="005004AC"/>
    <w:rsid w:val="00504DA8"/>
    <w:rsid w:val="00505B10"/>
    <w:rsid w:val="0051486C"/>
    <w:rsid w:val="0051524F"/>
    <w:rsid w:val="005152AD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126D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6E5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28FD"/>
    <w:rsid w:val="00633079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A12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948AB"/>
    <w:rsid w:val="006A1D07"/>
    <w:rsid w:val="006B2B1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3A6B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57D61"/>
    <w:rsid w:val="007607EA"/>
    <w:rsid w:val="00762CC4"/>
    <w:rsid w:val="007661C0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3865"/>
    <w:rsid w:val="00876CFD"/>
    <w:rsid w:val="008774CB"/>
    <w:rsid w:val="00881CCF"/>
    <w:rsid w:val="0088217C"/>
    <w:rsid w:val="00883C0A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4B83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4BD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3F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A73FF"/>
    <w:rsid w:val="00AB18D4"/>
    <w:rsid w:val="00AB660F"/>
    <w:rsid w:val="00AB6818"/>
    <w:rsid w:val="00AB6E85"/>
    <w:rsid w:val="00AC27F5"/>
    <w:rsid w:val="00AC2828"/>
    <w:rsid w:val="00AC70C6"/>
    <w:rsid w:val="00AC79EC"/>
    <w:rsid w:val="00AC7A36"/>
    <w:rsid w:val="00AD1BD1"/>
    <w:rsid w:val="00AD79AD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605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0E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7786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CF745A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E6D9D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1889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154D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26EEB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73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A7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47/INITIATIVE-147+-+Upgrade+FileNet+5.2.1.6+Home+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70BCAA-1D8C-4794-8BA9-5B133686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Kerri Stewart</cp:lastModifiedBy>
  <cp:revision>5</cp:revision>
  <cp:lastPrinted>2020-09-16T22:45:00Z</cp:lastPrinted>
  <dcterms:created xsi:type="dcterms:W3CDTF">2022-10-03T14:51:00Z</dcterms:created>
  <dcterms:modified xsi:type="dcterms:W3CDTF">2022-10-03T15:05:00Z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