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493B5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493B5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9D374E9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711142">
              <w:rPr>
                <w:rFonts w:ascii="Arial" w:hAnsi="Arial"/>
                <w:sz w:val="22"/>
                <w:szCs w:val="22"/>
              </w:rPr>
              <w:t>191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proofErr w:type="spellStart"/>
            <w:r w:rsidR="00E24423">
              <w:rPr>
                <w:rFonts w:ascii="Arial" w:hAnsi="Arial"/>
                <w:sz w:val="22"/>
                <w:szCs w:val="22"/>
              </w:rPr>
              <w:t>Sunsetting</w:t>
            </w:r>
            <w:proofErr w:type="spellEnd"/>
            <w:r w:rsidR="00E24423">
              <w:rPr>
                <w:rFonts w:ascii="Arial" w:hAnsi="Arial"/>
                <w:sz w:val="22"/>
                <w:szCs w:val="22"/>
              </w:rPr>
              <w:t xml:space="preserve"> IE Support</w:t>
            </w:r>
          </w:p>
          <w:p w14:paraId="00232641" w14:textId="386F2EE8" w:rsidR="00393EC8" w:rsidRPr="00F86CCD" w:rsidRDefault="00EE36BC" w:rsidP="0026786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26E5">
              <w:rPr>
                <w:rFonts w:ascii="Arial" w:hAnsi="Arial" w:cs="Arial"/>
                <w:sz w:val="22"/>
                <w:szCs w:val="22"/>
              </w:rPr>
              <w:t>09/02</w:t>
            </w:r>
            <w:r w:rsidR="006B2B1E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493B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493B5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30BDC5AE" w:rsidR="00393EC8" w:rsidRDefault="00393EC8" w:rsidP="00493B5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B2B1E">
              <w:rPr>
                <w:rFonts w:ascii="Arial" w:hAnsi="Arial" w:cs="Arial"/>
                <w:sz w:val="22"/>
                <w:szCs w:val="20"/>
              </w:rPr>
              <w:t>Kerri Stewart</w:t>
            </w:r>
          </w:p>
          <w:p w14:paraId="1C4C45BD" w14:textId="3A9C96B4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73F2828E" w:rsidR="00393EC8" w:rsidRPr="00642381" w:rsidRDefault="005844CB" w:rsidP="007111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11142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493B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1EDAB330" w:rsidR="00393EC8" w:rsidRPr="00642381" w:rsidRDefault="00A65616" w:rsidP="00711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F26E5">
              <w:rPr>
                <w:rFonts w:ascii="Arial" w:hAnsi="Arial" w:cs="Arial"/>
                <w:sz w:val="22"/>
                <w:szCs w:val="22"/>
              </w:rPr>
              <w:t>06/2023</w:t>
            </w:r>
          </w:p>
        </w:tc>
        <w:tc>
          <w:tcPr>
            <w:tcW w:w="1311" w:type="pct"/>
            <w:gridSpan w:val="2"/>
          </w:tcPr>
          <w:p w14:paraId="6AC1F1F9" w14:textId="44610818" w:rsidR="00393EC8" w:rsidRPr="00642381" w:rsidRDefault="00DD02C2" w:rsidP="00F25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F26E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493B5D">
        <w:trPr>
          <w:trHeight w:val="408"/>
        </w:trPr>
        <w:tc>
          <w:tcPr>
            <w:tcW w:w="5000" w:type="pct"/>
            <w:gridSpan w:val="9"/>
          </w:tcPr>
          <w:p w14:paraId="4044BED3" w14:textId="2EDC3F34" w:rsidR="00393EC8" w:rsidRPr="0082106A" w:rsidRDefault="00393EC8" w:rsidP="00D2545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1142">
              <w:rPr>
                <w:rFonts w:ascii="Arial" w:hAnsi="Arial" w:cs="Arial"/>
                <w:sz w:val="22"/>
                <w:szCs w:val="22"/>
              </w:rPr>
              <w:t>Redirect IE 11 depend</w:t>
            </w:r>
            <w:r w:rsidR="00D2545A">
              <w:rPr>
                <w:rFonts w:ascii="Arial" w:hAnsi="Arial" w:cs="Arial"/>
                <w:sz w:val="22"/>
                <w:szCs w:val="22"/>
              </w:rPr>
              <w:t>e</w:t>
            </w:r>
            <w:r w:rsidR="00711142">
              <w:rPr>
                <w:rFonts w:ascii="Arial" w:hAnsi="Arial" w:cs="Arial"/>
                <w:sz w:val="22"/>
                <w:szCs w:val="22"/>
              </w:rPr>
              <w:t>nt applications to MS Edge (Internet Explorer Compatibility Mod</w:t>
            </w:r>
            <w:r w:rsidR="005F26E5">
              <w:rPr>
                <w:rFonts w:ascii="Arial" w:hAnsi="Arial" w:cs="Arial"/>
                <w:sz w:val="22"/>
                <w:szCs w:val="22"/>
              </w:rPr>
              <w:t>e) before end of support 6/15/23</w:t>
            </w:r>
          </w:p>
        </w:tc>
      </w:tr>
      <w:tr w:rsidR="001D08C2" w:rsidRPr="00642381" w14:paraId="1735C8F8" w14:textId="77777777" w:rsidTr="005F26E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17EB89F1" w:rsidR="001D08C2" w:rsidRPr="00B7460C" w:rsidRDefault="006B2B1E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Project Delayed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51E1D94F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531" w:type="pct"/>
          </w:tcPr>
          <w:p w14:paraId="68F8B7DB" w14:textId="76828D11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8/21/2021</w:t>
            </w:r>
          </w:p>
        </w:tc>
        <w:tc>
          <w:tcPr>
            <w:tcW w:w="469" w:type="pct"/>
          </w:tcPr>
          <w:p w14:paraId="7322FE32" w14:textId="70A7A900" w:rsidR="00434E23" w:rsidRDefault="000D252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8/12/2021</w:t>
            </w:r>
          </w:p>
        </w:tc>
        <w:tc>
          <w:tcPr>
            <w:tcW w:w="469" w:type="pct"/>
          </w:tcPr>
          <w:p w14:paraId="28B245A5" w14:textId="7945BD48" w:rsidR="00434E23" w:rsidRDefault="003432F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1633DB72" w:rsidR="00434E23" w:rsidRPr="00D2545A" w:rsidRDefault="000D252F" w:rsidP="00D2545A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>All initiation tasks completed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4EA4423" w:rsidR="00434E23" w:rsidRDefault="00E24423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669D7EE" w:rsidR="00434E23" w:rsidRDefault="000D252F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531" w:type="pct"/>
          </w:tcPr>
          <w:p w14:paraId="53BB30E3" w14:textId="73AAF814" w:rsidR="00434E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69" w:type="pct"/>
          </w:tcPr>
          <w:p w14:paraId="37AAF9A4" w14:textId="79EE111D" w:rsidR="00434E23" w:rsidRDefault="007777D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4F4F6502" w14:textId="710D5262" w:rsidR="00434E23" w:rsidRDefault="007777D7" w:rsidP="007777D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2545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2F66FAFA" w:rsidR="00D2545A" w:rsidRPr="00970564" w:rsidRDefault="00970564" w:rsidP="00970564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564">
              <w:rPr>
                <w:rFonts w:ascii="Arial" w:hAnsi="Arial" w:cs="Arial"/>
                <w:color w:val="000000"/>
                <w:sz w:val="20"/>
                <w:szCs w:val="20"/>
              </w:rPr>
              <w:t>All planning tasks completed</w:t>
            </w:r>
          </w:p>
        </w:tc>
      </w:tr>
      <w:tr w:rsidR="005F26E5" w:rsidRPr="00642381" w14:paraId="7AAA3EB6" w14:textId="77777777" w:rsidTr="00DC5A2D">
        <w:trPr>
          <w:trHeight w:val="272"/>
        </w:trPr>
        <w:tc>
          <w:tcPr>
            <w:tcW w:w="1593" w:type="pct"/>
          </w:tcPr>
          <w:p w14:paraId="1DCCE51F" w14:textId="0935B43A" w:rsidR="005F26E5" w:rsidRPr="002153D0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2153D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Planning</w:t>
            </w:r>
            <w:r w:rsidR="003767C8" w:rsidRPr="002153D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(Revisited)</w:t>
            </w:r>
          </w:p>
        </w:tc>
        <w:tc>
          <w:tcPr>
            <w:tcW w:w="500" w:type="pct"/>
          </w:tcPr>
          <w:p w14:paraId="587E92A7" w14:textId="06CFC847" w:rsidR="005F26E5" w:rsidRPr="002153D0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2153D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09/01/2022</w:t>
            </w:r>
          </w:p>
        </w:tc>
        <w:tc>
          <w:tcPr>
            <w:tcW w:w="531" w:type="pct"/>
          </w:tcPr>
          <w:p w14:paraId="0ACCF9F2" w14:textId="75CD6B32" w:rsidR="005F26E5" w:rsidRPr="002153D0" w:rsidRDefault="003767C8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2153D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11/15/2022</w:t>
            </w:r>
          </w:p>
        </w:tc>
        <w:tc>
          <w:tcPr>
            <w:tcW w:w="469" w:type="pct"/>
          </w:tcPr>
          <w:p w14:paraId="749D7441" w14:textId="20FA3E40" w:rsidR="005F26E5" w:rsidRPr="002153D0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69" w:type="pct"/>
          </w:tcPr>
          <w:p w14:paraId="5781DC6B" w14:textId="291D19AA" w:rsidR="005F26E5" w:rsidRPr="002153D0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2153D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5</w:t>
            </w:r>
            <w:r w:rsidRPr="002153D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BF1E9FC" w14:textId="59FFA341" w:rsidR="005F26E5" w:rsidRPr="002153D0" w:rsidRDefault="005F26E5" w:rsidP="0059126D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153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The pla</w:t>
            </w:r>
            <w:r w:rsidR="003767C8" w:rsidRPr="002153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nning tasks</w:t>
            </w:r>
            <w:r w:rsidR="002153D0" w:rsidRPr="002153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are to be revisited due to the testing </w:t>
            </w:r>
            <w:r w:rsidR="0059126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criteria not being met and outstanding issues that still need to be resolved.  Exploring options to implement the group </w:t>
            </w:r>
            <w:proofErr w:type="spellStart"/>
            <w:r w:rsidR="0059126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policys</w:t>
            </w:r>
            <w:proofErr w:type="spellEnd"/>
            <w:r w:rsidR="0059126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for the applications that successfully tested in Edge, without the IE redirection, and creating a new project for the outstanding applications that are not working in Edge.</w:t>
            </w:r>
          </w:p>
        </w:tc>
      </w:tr>
      <w:tr w:rsidR="005F26E5" w:rsidRPr="00642381" w14:paraId="14DD9364" w14:textId="77777777" w:rsidTr="00655A12">
        <w:trPr>
          <w:trHeight w:val="272"/>
        </w:trPr>
        <w:tc>
          <w:tcPr>
            <w:tcW w:w="1593" w:type="pct"/>
          </w:tcPr>
          <w:p w14:paraId="4E794729" w14:textId="3E70E7E9" w:rsidR="005F26E5" w:rsidRPr="00970564" w:rsidRDefault="005F26E5" w:rsidP="005F26E5">
            <w:pPr>
              <w:spacing w:after="60"/>
              <w:ind w:right="-8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1DABD247" w14:textId="212FA274" w:rsidR="005F26E5" w:rsidRPr="00970564" w:rsidRDefault="005F26E5" w:rsidP="005F26E5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531" w:type="pct"/>
            <w:shd w:val="clear" w:color="auto" w:fill="auto"/>
          </w:tcPr>
          <w:p w14:paraId="63AEB439" w14:textId="1158E15C" w:rsidR="005F26E5" w:rsidRPr="00655A12" w:rsidRDefault="005F26E5" w:rsidP="005F26E5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5A12">
              <w:rPr>
                <w:rFonts w:ascii="Arial" w:hAnsi="Arial" w:cs="Arial"/>
                <w:b/>
                <w:color w:val="000000"/>
                <w:sz w:val="22"/>
                <w:szCs w:val="22"/>
              </w:rPr>
              <w:t>6/15/2022</w:t>
            </w:r>
          </w:p>
        </w:tc>
        <w:tc>
          <w:tcPr>
            <w:tcW w:w="469" w:type="pct"/>
          </w:tcPr>
          <w:p w14:paraId="4044E505" w14:textId="525A5358" w:rsidR="005F26E5" w:rsidRPr="00970564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E12C364" w14:textId="62DE7810" w:rsidR="005F26E5" w:rsidRPr="00970564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48</w:t>
            </w: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0DE8D40" w14:textId="77777777" w:rsidR="005F26E5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6E5" w:rsidRPr="00642381" w14:paraId="08BEC8C2" w14:textId="77777777" w:rsidTr="00655A12">
        <w:trPr>
          <w:trHeight w:val="272"/>
        </w:trPr>
        <w:tc>
          <w:tcPr>
            <w:tcW w:w="1593" w:type="pct"/>
          </w:tcPr>
          <w:p w14:paraId="156BF9B6" w14:textId="27A95DC8" w:rsidR="005F26E5" w:rsidRPr="00716F34" w:rsidRDefault="005F26E5" w:rsidP="005F26E5">
            <w:pPr>
              <w:spacing w:after="60"/>
              <w:ind w:left="720" w:right="-86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proofErr w:type="spellStart"/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Kofax</w:t>
            </w:r>
            <w:proofErr w:type="spellEnd"/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 xml:space="preserve"> Upgrade from 7.4 to 7.9</w:t>
            </w:r>
          </w:p>
        </w:tc>
        <w:tc>
          <w:tcPr>
            <w:tcW w:w="500" w:type="pct"/>
          </w:tcPr>
          <w:p w14:paraId="6A577A94" w14:textId="6C49959E" w:rsidR="005F26E5" w:rsidRPr="00716F34" w:rsidRDefault="005F26E5" w:rsidP="005F26E5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11/1/2021</w:t>
            </w:r>
          </w:p>
        </w:tc>
        <w:tc>
          <w:tcPr>
            <w:tcW w:w="531" w:type="pct"/>
            <w:shd w:val="clear" w:color="auto" w:fill="auto"/>
          </w:tcPr>
          <w:p w14:paraId="39067A33" w14:textId="6EAD5AD6" w:rsidR="005F26E5" w:rsidRPr="00655A12" w:rsidRDefault="005F26E5" w:rsidP="005F26E5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655A12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3/31/2022</w:t>
            </w:r>
          </w:p>
        </w:tc>
        <w:tc>
          <w:tcPr>
            <w:tcW w:w="469" w:type="pct"/>
          </w:tcPr>
          <w:p w14:paraId="488AC8B9" w14:textId="77777777" w:rsidR="005F26E5" w:rsidRPr="00716F34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</w:p>
        </w:tc>
        <w:tc>
          <w:tcPr>
            <w:tcW w:w="469" w:type="pct"/>
          </w:tcPr>
          <w:p w14:paraId="0F434504" w14:textId="2AEA3B88" w:rsidR="005F26E5" w:rsidRPr="00716F34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85%</w:t>
            </w:r>
          </w:p>
        </w:tc>
        <w:tc>
          <w:tcPr>
            <w:tcW w:w="1437" w:type="pct"/>
            <w:shd w:val="clear" w:color="auto" w:fill="FFFFFF" w:themeFill="background1"/>
          </w:tcPr>
          <w:p w14:paraId="657A5770" w14:textId="77777777" w:rsidR="005F26E5" w:rsidRPr="00743136" w:rsidRDefault="005F26E5" w:rsidP="005F26E5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>No RFP will be required</w:t>
            </w:r>
          </w:p>
          <w:p w14:paraId="22BB5BD5" w14:textId="186CDA9D" w:rsidR="005F26E5" w:rsidRPr="00743136" w:rsidRDefault="005F26E5" w:rsidP="005F26E5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KOFAX can be upgraded internally  </w:t>
            </w:r>
          </w:p>
        </w:tc>
      </w:tr>
      <w:tr w:rsidR="005F26E5" w:rsidRPr="00642381" w14:paraId="42B06D54" w14:textId="77777777" w:rsidTr="00655A12">
        <w:trPr>
          <w:trHeight w:val="272"/>
        </w:trPr>
        <w:tc>
          <w:tcPr>
            <w:tcW w:w="1593" w:type="pct"/>
          </w:tcPr>
          <w:p w14:paraId="49E8100C" w14:textId="55A7808E" w:rsidR="005F26E5" w:rsidRDefault="005F26E5" w:rsidP="005F26E5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66BC7945" w14:textId="2980AC16" w:rsid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31" w:type="pct"/>
            <w:shd w:val="clear" w:color="auto" w:fill="auto"/>
          </w:tcPr>
          <w:p w14:paraId="67852EE5" w14:textId="5A4D1685" w:rsidR="005F26E5" w:rsidRPr="00655A12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5A12"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469" w:type="pct"/>
          </w:tcPr>
          <w:p w14:paraId="7B64F76E" w14:textId="5883EF22" w:rsid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11/9/2021</w:t>
            </w:r>
          </w:p>
        </w:tc>
        <w:tc>
          <w:tcPr>
            <w:tcW w:w="469" w:type="pct"/>
          </w:tcPr>
          <w:p w14:paraId="6B753AE8" w14:textId="1A4ABF22" w:rsid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61D18B" w14:textId="77777777" w:rsidR="005F26E5" w:rsidRPr="00743136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5F26E5" w:rsidRPr="00642381" w14:paraId="56C85558" w14:textId="77777777" w:rsidTr="00655A12">
        <w:trPr>
          <w:trHeight w:val="272"/>
        </w:trPr>
        <w:tc>
          <w:tcPr>
            <w:tcW w:w="1593" w:type="pct"/>
          </w:tcPr>
          <w:p w14:paraId="1EC428FE" w14:textId="2AFBAF7F" w:rsidR="005F26E5" w:rsidRDefault="005F26E5" w:rsidP="005F26E5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 Completed</w:t>
            </w:r>
          </w:p>
        </w:tc>
        <w:tc>
          <w:tcPr>
            <w:tcW w:w="500" w:type="pct"/>
          </w:tcPr>
          <w:p w14:paraId="66655749" w14:textId="291FC925" w:rsid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11/9/2021</w:t>
            </w:r>
          </w:p>
        </w:tc>
        <w:tc>
          <w:tcPr>
            <w:tcW w:w="531" w:type="pct"/>
            <w:shd w:val="clear" w:color="auto" w:fill="auto"/>
          </w:tcPr>
          <w:p w14:paraId="58D28281" w14:textId="025BECD2" w:rsidR="005F26E5" w:rsidRPr="00655A12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5A12"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469" w:type="pct"/>
          </w:tcPr>
          <w:p w14:paraId="1EE579CA" w14:textId="3AD5CD65" w:rsid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11/12/2021</w:t>
            </w:r>
          </w:p>
        </w:tc>
        <w:tc>
          <w:tcPr>
            <w:tcW w:w="469" w:type="pct"/>
          </w:tcPr>
          <w:p w14:paraId="647DF593" w14:textId="1278E25A" w:rsid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F42F546" w14:textId="77777777" w:rsidR="005F26E5" w:rsidRPr="00743136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5F26E5" w:rsidRPr="00642381" w14:paraId="1E0CAB06" w14:textId="77777777" w:rsidTr="00655A12">
        <w:trPr>
          <w:trHeight w:val="272"/>
        </w:trPr>
        <w:tc>
          <w:tcPr>
            <w:tcW w:w="1593" w:type="pct"/>
          </w:tcPr>
          <w:p w14:paraId="36C287A5" w14:textId="57028EDB" w:rsidR="005F26E5" w:rsidRPr="005F26E5" w:rsidRDefault="005F26E5" w:rsidP="005F26E5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UAT Notification to Users</w:t>
            </w:r>
          </w:p>
        </w:tc>
        <w:tc>
          <w:tcPr>
            <w:tcW w:w="500" w:type="pct"/>
          </w:tcPr>
          <w:p w14:paraId="5FDAA6CC" w14:textId="20EDC268" w:rsidR="005F26E5" w:rsidRP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08/09/2022</w:t>
            </w:r>
          </w:p>
        </w:tc>
        <w:tc>
          <w:tcPr>
            <w:tcW w:w="531" w:type="pct"/>
            <w:shd w:val="clear" w:color="auto" w:fill="auto"/>
          </w:tcPr>
          <w:p w14:paraId="623DC27D" w14:textId="32221ADA" w:rsidR="005F26E5" w:rsidRP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08/11/2022</w:t>
            </w:r>
          </w:p>
        </w:tc>
        <w:tc>
          <w:tcPr>
            <w:tcW w:w="469" w:type="pct"/>
          </w:tcPr>
          <w:p w14:paraId="765B2234" w14:textId="05798A90" w:rsidR="005F26E5" w:rsidRP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08/11/2022</w:t>
            </w:r>
          </w:p>
        </w:tc>
        <w:tc>
          <w:tcPr>
            <w:tcW w:w="469" w:type="pct"/>
          </w:tcPr>
          <w:p w14:paraId="213C1B34" w14:textId="352461BC" w:rsidR="005F26E5" w:rsidRP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9EC6C8A" w14:textId="4B034FEB" w:rsidR="005F26E5" w:rsidRPr="005F26E5" w:rsidRDefault="005F26E5" w:rsidP="005F26E5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18"/>
                <w:szCs w:val="22"/>
              </w:rPr>
              <w:t>Notify customers that UAT can begin</w:t>
            </w:r>
          </w:p>
        </w:tc>
      </w:tr>
      <w:tr w:rsidR="005F26E5" w:rsidRPr="00642381" w14:paraId="2F5C1B50" w14:textId="77777777" w:rsidTr="00655A12">
        <w:trPr>
          <w:trHeight w:val="272"/>
        </w:trPr>
        <w:tc>
          <w:tcPr>
            <w:tcW w:w="1593" w:type="pct"/>
          </w:tcPr>
          <w:p w14:paraId="4DE944E9" w14:textId="0218BEA7" w:rsidR="005F26E5" w:rsidRPr="005F26E5" w:rsidRDefault="005F26E5" w:rsidP="005F26E5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UAT Complete</w:t>
            </w:r>
          </w:p>
        </w:tc>
        <w:tc>
          <w:tcPr>
            <w:tcW w:w="500" w:type="pct"/>
          </w:tcPr>
          <w:p w14:paraId="09057C15" w14:textId="22E1F917" w:rsidR="005F26E5" w:rsidRP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531" w:type="pct"/>
            <w:shd w:val="clear" w:color="auto" w:fill="auto"/>
          </w:tcPr>
          <w:p w14:paraId="3275F883" w14:textId="1BCA5D48" w:rsidR="005F26E5" w:rsidRP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09/16/2022</w:t>
            </w:r>
          </w:p>
        </w:tc>
        <w:tc>
          <w:tcPr>
            <w:tcW w:w="469" w:type="pct"/>
          </w:tcPr>
          <w:p w14:paraId="72CB8CFB" w14:textId="77777777" w:rsidR="005F26E5" w:rsidRP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5EC7FC2" w14:textId="39499845" w:rsidR="005F26E5" w:rsidRP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85%</w:t>
            </w:r>
          </w:p>
        </w:tc>
        <w:tc>
          <w:tcPr>
            <w:tcW w:w="1437" w:type="pct"/>
            <w:shd w:val="clear" w:color="auto" w:fill="FFFFFF" w:themeFill="background1"/>
          </w:tcPr>
          <w:p w14:paraId="11379F2B" w14:textId="1081BB56" w:rsidR="005F26E5" w:rsidRPr="005F26E5" w:rsidRDefault="005F26E5" w:rsidP="005F26E5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18"/>
                <w:szCs w:val="22"/>
              </w:rPr>
              <w:t>UAT Test scripts documented</w:t>
            </w:r>
          </w:p>
          <w:p w14:paraId="366BA2FE" w14:textId="77777777" w:rsidR="005F26E5" w:rsidRPr="005F26E5" w:rsidRDefault="005F26E5" w:rsidP="005F26E5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18"/>
                <w:szCs w:val="22"/>
              </w:rPr>
              <w:t>Met with Primary users for UAT scheduling</w:t>
            </w:r>
          </w:p>
          <w:p w14:paraId="1017242D" w14:textId="77777777" w:rsidR="005F26E5" w:rsidRPr="005F26E5" w:rsidRDefault="005F26E5" w:rsidP="005F26E5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F26E5">
              <w:rPr>
                <w:rFonts w:ascii="Arial" w:hAnsi="Arial" w:cs="Arial"/>
                <w:b/>
                <w:color w:val="000000"/>
                <w:sz w:val="18"/>
                <w:szCs w:val="20"/>
              </w:rPr>
              <w:t>12/30/21:</w:t>
            </w:r>
            <w:r w:rsidRPr="005F26E5">
              <w:rPr>
                <w:rFonts w:ascii="Arial" w:hAnsi="Arial" w:cs="Arial"/>
                <w:color w:val="000000"/>
                <w:sz w:val="18"/>
                <w:szCs w:val="20"/>
              </w:rPr>
              <w:t xml:space="preserve"> Upgrade progress in UAT – Ran into some configuration issues – will need to continue UAT into February 2022. Moving End date to 2/16/2022</w:t>
            </w:r>
          </w:p>
          <w:p w14:paraId="69FF7B46" w14:textId="77777777" w:rsidR="005F26E5" w:rsidRPr="005F26E5" w:rsidRDefault="005F26E5" w:rsidP="005F26E5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18"/>
                <w:szCs w:val="20"/>
              </w:rPr>
              <w:t>Moving target date to 3/31/22 to have upgrade complete and through UAT.</w:t>
            </w:r>
          </w:p>
          <w:p w14:paraId="6A288079" w14:textId="77777777" w:rsidR="005F26E5" w:rsidRPr="005F26E5" w:rsidRDefault="005F26E5" w:rsidP="005F26E5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18"/>
                <w:szCs w:val="20"/>
              </w:rPr>
              <w:t>We found 1 defect that we are working with the vendor to remediate.  Need to push UAT out to 4/31/22</w:t>
            </w:r>
          </w:p>
          <w:p w14:paraId="3066835C" w14:textId="77777777" w:rsidR="005F26E5" w:rsidRDefault="005F26E5" w:rsidP="005F26E5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18"/>
                <w:szCs w:val="22"/>
              </w:rPr>
              <w:t xml:space="preserve">Moved </w:t>
            </w:r>
            <w:proofErr w:type="spellStart"/>
            <w:r w:rsidRPr="005F26E5">
              <w:rPr>
                <w:rFonts w:ascii="Arial" w:hAnsi="Arial" w:cs="Arial"/>
                <w:color w:val="000000"/>
                <w:sz w:val="18"/>
                <w:szCs w:val="22"/>
              </w:rPr>
              <w:t>Kofax</w:t>
            </w:r>
            <w:proofErr w:type="spellEnd"/>
            <w:r w:rsidRPr="005F26E5">
              <w:rPr>
                <w:rFonts w:ascii="Arial" w:hAnsi="Arial" w:cs="Arial"/>
                <w:color w:val="000000"/>
                <w:sz w:val="18"/>
                <w:szCs w:val="22"/>
              </w:rPr>
              <w:t xml:space="preserve"> testing out to 8/31.  Delay due to resources.</w:t>
            </w:r>
          </w:p>
          <w:p w14:paraId="5CEDF1A4" w14:textId="7D5A38D3" w:rsidR="005F26E5" w:rsidRPr="005F26E5" w:rsidRDefault="005F26E5" w:rsidP="005F26E5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lastRenderedPageBreak/>
              <w:t>09/01/2022 – UAT testing is in process, but currently working through purchasing and shipping process issues.  The vendor may need to provide assistance to correct. Extending UAT to 09/16/2022</w:t>
            </w:r>
          </w:p>
        </w:tc>
      </w:tr>
      <w:tr w:rsidR="005F26E5" w:rsidRPr="00642381" w14:paraId="1B93BC8A" w14:textId="77777777" w:rsidTr="00DC5A2D">
        <w:trPr>
          <w:trHeight w:val="272"/>
        </w:trPr>
        <w:tc>
          <w:tcPr>
            <w:tcW w:w="1593" w:type="pct"/>
          </w:tcPr>
          <w:p w14:paraId="2F711B50" w14:textId="4A05B7E9" w:rsidR="005F26E5" w:rsidRPr="001609CE" w:rsidRDefault="005F26E5" w:rsidP="005F26E5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1609C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lastRenderedPageBreak/>
              <w:t>Implementation</w:t>
            </w:r>
          </w:p>
        </w:tc>
        <w:tc>
          <w:tcPr>
            <w:tcW w:w="500" w:type="pct"/>
          </w:tcPr>
          <w:p w14:paraId="21318888" w14:textId="539676DB" w:rsidR="005F26E5" w:rsidRPr="001609CE" w:rsidRDefault="001609CE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1609C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09/19/2022</w:t>
            </w:r>
          </w:p>
        </w:tc>
        <w:tc>
          <w:tcPr>
            <w:tcW w:w="531" w:type="pct"/>
          </w:tcPr>
          <w:p w14:paraId="044F934A" w14:textId="6CFA91F5" w:rsidR="005F26E5" w:rsidRPr="001609CE" w:rsidRDefault="001609CE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1609C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09/30/2022</w:t>
            </w:r>
          </w:p>
        </w:tc>
        <w:tc>
          <w:tcPr>
            <w:tcW w:w="469" w:type="pct"/>
          </w:tcPr>
          <w:p w14:paraId="7BD2351A" w14:textId="77777777" w:rsidR="005F26E5" w:rsidRPr="001609CE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69" w:type="pct"/>
          </w:tcPr>
          <w:p w14:paraId="4A4C21A1" w14:textId="5102F34C" w:rsidR="005F26E5" w:rsidRPr="001609CE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1609C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65B2E8A4" w14:textId="77777777" w:rsidR="005F26E5" w:rsidRPr="001609CE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</w:pPr>
          </w:p>
        </w:tc>
      </w:tr>
      <w:tr w:rsidR="005F26E5" w:rsidRPr="00642381" w14:paraId="202D3BAB" w14:textId="77777777" w:rsidTr="00DC5A2D">
        <w:trPr>
          <w:trHeight w:val="272"/>
        </w:trPr>
        <w:tc>
          <w:tcPr>
            <w:tcW w:w="1593" w:type="pct"/>
          </w:tcPr>
          <w:p w14:paraId="35F39B5D" w14:textId="52AD335A" w:rsidR="005F26E5" w:rsidRPr="005F26E5" w:rsidRDefault="005F26E5" w:rsidP="005F26E5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Functional Requirements Complete</w:t>
            </w:r>
          </w:p>
        </w:tc>
        <w:tc>
          <w:tcPr>
            <w:tcW w:w="500" w:type="pct"/>
          </w:tcPr>
          <w:p w14:paraId="5D9C0E95" w14:textId="7A673761" w:rsidR="005F26E5" w:rsidRP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10/6/2021</w:t>
            </w:r>
          </w:p>
        </w:tc>
        <w:tc>
          <w:tcPr>
            <w:tcW w:w="531" w:type="pct"/>
          </w:tcPr>
          <w:p w14:paraId="46E85520" w14:textId="2AAE95E0" w:rsidR="005F26E5" w:rsidRP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5A169526" w14:textId="2C5A3501" w:rsidR="005F26E5" w:rsidRP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10/22/2021</w:t>
            </w:r>
          </w:p>
        </w:tc>
        <w:tc>
          <w:tcPr>
            <w:tcW w:w="469" w:type="pct"/>
          </w:tcPr>
          <w:p w14:paraId="2F64BB8E" w14:textId="1B393EC3" w:rsidR="005F26E5" w:rsidRP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67C0DE1" w14:textId="77777777" w:rsidR="005F26E5" w:rsidRPr="005F26E5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5F26E5" w:rsidRPr="00642381" w14:paraId="5B2F5DFF" w14:textId="77777777" w:rsidTr="00DC5A2D">
        <w:trPr>
          <w:trHeight w:val="272"/>
        </w:trPr>
        <w:tc>
          <w:tcPr>
            <w:tcW w:w="1593" w:type="pct"/>
          </w:tcPr>
          <w:p w14:paraId="65C27EBB" w14:textId="0032E02B" w:rsidR="005F26E5" w:rsidRPr="005F26E5" w:rsidRDefault="005F26E5" w:rsidP="005F26E5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Technical Requirements Complete</w:t>
            </w:r>
          </w:p>
        </w:tc>
        <w:tc>
          <w:tcPr>
            <w:tcW w:w="500" w:type="pct"/>
          </w:tcPr>
          <w:p w14:paraId="7184B25C" w14:textId="66DC0C18" w:rsidR="005F26E5" w:rsidRP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11/2/2021</w:t>
            </w:r>
          </w:p>
        </w:tc>
        <w:tc>
          <w:tcPr>
            <w:tcW w:w="531" w:type="pct"/>
          </w:tcPr>
          <w:p w14:paraId="0ABB58E1" w14:textId="357F261B" w:rsidR="005F26E5" w:rsidRP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12/20/2021</w:t>
            </w:r>
          </w:p>
        </w:tc>
        <w:tc>
          <w:tcPr>
            <w:tcW w:w="469" w:type="pct"/>
          </w:tcPr>
          <w:p w14:paraId="504D611E" w14:textId="7C7C1495" w:rsidR="005F26E5" w:rsidRP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12/27/2021</w:t>
            </w:r>
          </w:p>
        </w:tc>
        <w:tc>
          <w:tcPr>
            <w:tcW w:w="469" w:type="pct"/>
          </w:tcPr>
          <w:p w14:paraId="43938A46" w14:textId="2AF949F5" w:rsidR="005F26E5" w:rsidRP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E2C791F" w14:textId="362F5746" w:rsidR="005F26E5" w:rsidRPr="005F26E5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F26E5">
              <w:rPr>
                <w:rFonts w:ascii="Arial" w:hAnsi="Arial" w:cs="Arial"/>
                <w:color w:val="000000"/>
                <w:sz w:val="18"/>
                <w:szCs w:val="22"/>
              </w:rPr>
              <w:t>Was late due to ITOPS resource availability</w:t>
            </w:r>
          </w:p>
        </w:tc>
      </w:tr>
      <w:tr w:rsidR="005F26E5" w:rsidRPr="00642381" w14:paraId="0416367D" w14:textId="77777777" w:rsidTr="00DC5A2D">
        <w:trPr>
          <w:trHeight w:val="272"/>
        </w:trPr>
        <w:tc>
          <w:tcPr>
            <w:tcW w:w="1593" w:type="pct"/>
          </w:tcPr>
          <w:p w14:paraId="2D9599D3" w14:textId="45CC142F" w:rsidR="005F26E5" w:rsidRDefault="005F26E5" w:rsidP="005F26E5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5F3B01A7" w14:textId="29C70EE7" w:rsid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11/2/2021</w:t>
            </w:r>
          </w:p>
        </w:tc>
        <w:tc>
          <w:tcPr>
            <w:tcW w:w="531" w:type="pct"/>
          </w:tcPr>
          <w:p w14:paraId="75BB4E83" w14:textId="4C62933C" w:rsid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11/30/2021</w:t>
            </w:r>
          </w:p>
        </w:tc>
        <w:tc>
          <w:tcPr>
            <w:tcW w:w="469" w:type="pct"/>
          </w:tcPr>
          <w:p w14:paraId="2DBFF88B" w14:textId="171374C9" w:rsid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469" w:type="pct"/>
          </w:tcPr>
          <w:p w14:paraId="38AEB733" w14:textId="30744E5C" w:rsid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1B6FD0A" w14:textId="4C4E3437" w:rsidR="005F26E5" w:rsidRPr="00743136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 xml:space="preserve">Dev environment desktops have been configured for all applications to run in IE Mode, etc. </w:t>
            </w:r>
          </w:p>
        </w:tc>
      </w:tr>
      <w:tr w:rsidR="005F26E5" w:rsidRPr="00642381" w14:paraId="38ADABEE" w14:textId="77777777" w:rsidTr="00DC5A2D">
        <w:trPr>
          <w:trHeight w:val="272"/>
        </w:trPr>
        <w:tc>
          <w:tcPr>
            <w:tcW w:w="1593" w:type="pct"/>
          </w:tcPr>
          <w:p w14:paraId="281B971A" w14:textId="28672EE7" w:rsidR="005F26E5" w:rsidRDefault="005F26E5" w:rsidP="005F26E5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Testing (2</w:t>
            </w:r>
            <w:r w:rsidRPr="004F2B7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Round)</w:t>
            </w:r>
          </w:p>
        </w:tc>
        <w:tc>
          <w:tcPr>
            <w:tcW w:w="500" w:type="pct"/>
          </w:tcPr>
          <w:p w14:paraId="45809B8F" w14:textId="346E980A" w:rsid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12/1/2021</w:t>
            </w:r>
          </w:p>
        </w:tc>
        <w:tc>
          <w:tcPr>
            <w:tcW w:w="531" w:type="pct"/>
          </w:tcPr>
          <w:p w14:paraId="71DC91FD" w14:textId="73C1212F" w:rsidR="005F26E5" w:rsidRPr="001D32BC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BC">
              <w:rPr>
                <w:rFonts w:ascii="Arial" w:hAnsi="Arial" w:cs="Arial"/>
                <w:color w:val="000000"/>
                <w:sz w:val="22"/>
                <w:szCs w:val="22"/>
              </w:rPr>
              <w:t>2/11/2022</w:t>
            </w:r>
          </w:p>
        </w:tc>
        <w:tc>
          <w:tcPr>
            <w:tcW w:w="469" w:type="pct"/>
          </w:tcPr>
          <w:p w14:paraId="35D99D55" w14:textId="2BCE8CD5" w:rsidR="005F26E5" w:rsidRPr="001D32BC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BC">
              <w:rPr>
                <w:rFonts w:ascii="Arial" w:hAnsi="Arial" w:cs="Arial"/>
                <w:color w:val="000000"/>
                <w:sz w:val="22"/>
                <w:szCs w:val="22"/>
              </w:rPr>
              <w:t>2/21/2022</w:t>
            </w:r>
          </w:p>
        </w:tc>
        <w:tc>
          <w:tcPr>
            <w:tcW w:w="469" w:type="pct"/>
          </w:tcPr>
          <w:p w14:paraId="78759A9F" w14:textId="0687998F" w:rsidR="005F26E5" w:rsidRPr="001D32BC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BC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2B9B04F" w14:textId="69D42C8A" w:rsidR="005F26E5" w:rsidRPr="001D32BC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D32BC">
              <w:rPr>
                <w:rFonts w:ascii="Arial" w:hAnsi="Arial" w:cs="Arial"/>
                <w:color w:val="000000"/>
                <w:sz w:val="18"/>
                <w:szCs w:val="22"/>
              </w:rPr>
              <w:t>Moving date to 2/11/22 due to resource availability.</w:t>
            </w:r>
          </w:p>
        </w:tc>
      </w:tr>
      <w:tr w:rsidR="005F26E5" w:rsidRPr="00642381" w14:paraId="7088A33B" w14:textId="77777777" w:rsidTr="00DC5A2D">
        <w:trPr>
          <w:trHeight w:val="272"/>
        </w:trPr>
        <w:tc>
          <w:tcPr>
            <w:tcW w:w="1593" w:type="pct"/>
          </w:tcPr>
          <w:p w14:paraId="1E286B4A" w14:textId="5716D08A" w:rsidR="005F26E5" w:rsidRDefault="005F26E5" w:rsidP="005F26E5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Remediation Tasks Created if Necessary</w:t>
            </w:r>
          </w:p>
        </w:tc>
        <w:tc>
          <w:tcPr>
            <w:tcW w:w="500" w:type="pct"/>
          </w:tcPr>
          <w:p w14:paraId="0FA8BF2B" w14:textId="6C7850C9" w:rsid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1/3/2022</w:t>
            </w:r>
          </w:p>
        </w:tc>
        <w:tc>
          <w:tcPr>
            <w:tcW w:w="531" w:type="pct"/>
          </w:tcPr>
          <w:p w14:paraId="57BA9176" w14:textId="25C767CA" w:rsidR="005F26E5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B6B4897" w14:textId="77777777" w:rsid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DCC91D6" w14:textId="22BF41F5" w:rsidR="005F26E5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C03956F" w14:textId="2CEF1F7B" w:rsidR="005F26E5" w:rsidRPr="00743136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These tasks will only be created if the application will not function as expected using IE Compatibility Mode in MS Edge.</w:t>
            </w:r>
          </w:p>
        </w:tc>
      </w:tr>
    </w:tbl>
    <w:p w14:paraId="6066A6AB" w14:textId="18178745" w:rsidR="00716F34" w:rsidRDefault="00716F34">
      <w:pPr>
        <w:rPr>
          <w:rFonts w:ascii="Arial" w:hAnsi="Arial" w:cs="Arial"/>
          <w:sz w:val="22"/>
          <w:szCs w:val="22"/>
        </w:rPr>
      </w:pPr>
    </w:p>
    <w:p w14:paraId="59AD2E31" w14:textId="62F3E6AC" w:rsidR="00716F34" w:rsidRDefault="00716F3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07E4B31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32"/>
        <w:gridCol w:w="6127"/>
        <w:gridCol w:w="6824"/>
      </w:tblGrid>
      <w:tr w:rsidR="005D11C3" w:rsidRPr="00642381" w14:paraId="17E5C533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6836DCDB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328FD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7B039D49" w:rsidR="00F26C5D" w:rsidRDefault="0017088D" w:rsidP="00C863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09/02/2022</w:t>
            </w:r>
          </w:p>
        </w:tc>
        <w:tc>
          <w:tcPr>
            <w:tcW w:w="2159" w:type="pct"/>
            <w:shd w:val="clear" w:color="auto" w:fill="auto"/>
          </w:tcPr>
          <w:p w14:paraId="56BCC5BA" w14:textId="77777777" w:rsidR="004F3D5D" w:rsidRDefault="0017088D" w:rsidP="001654AD">
            <w:pPr>
              <w:pStyle w:val="ListParagraph"/>
              <w:numPr>
                <w:ilvl w:val="0"/>
                <w:numId w:val="25"/>
              </w:numPr>
              <w:ind w:left="612" w:right="288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Moved the initiative back to the planning phase</w:t>
            </w:r>
          </w:p>
          <w:p w14:paraId="635F4170" w14:textId="55591D10" w:rsidR="001609CE" w:rsidRPr="001609CE" w:rsidRDefault="001609CE" w:rsidP="001609CE">
            <w:pPr>
              <w:ind w:left="342" w:righ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585E4991" w14:textId="6A222F1E" w:rsidR="002168FE" w:rsidRPr="0017088D" w:rsidRDefault="001609CE" w:rsidP="0017088D">
            <w:pPr>
              <w:pStyle w:val="ListParagraph"/>
              <w:numPr>
                <w:ilvl w:val="0"/>
                <w:numId w:val="25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 supervisor, Arshad Waheed</w:t>
            </w:r>
          </w:p>
        </w:tc>
      </w:tr>
    </w:tbl>
    <w:p w14:paraId="30D59D2A" w14:textId="2A6F430F" w:rsidR="00423FF8" w:rsidRPr="001654AD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0D252F" w:rsidRPr="00642381" w14:paraId="18423355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0DA0BF41" w14:textId="77777777" w:rsidR="000D252F" w:rsidRPr="001654AD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4AD"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159" w:type="pct"/>
            <w:shd w:val="clear" w:color="auto" w:fill="17365D" w:themeFill="text2" w:themeFillShade="BF"/>
          </w:tcPr>
          <w:p w14:paraId="6AD5D07D" w14:textId="77777777" w:rsidR="000D252F" w:rsidRPr="001654AD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4AD">
              <w:rPr>
                <w:rFonts w:ascii="Arial" w:hAnsi="Arial" w:cs="Arial"/>
                <w:b/>
                <w:sz w:val="22"/>
                <w:szCs w:val="22"/>
              </w:rPr>
              <w:t>Completed Tasks This 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27AC4E3D" w14:textId="77777777" w:rsidR="000D252F" w:rsidRPr="00642381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4AD">
              <w:rPr>
                <w:rFonts w:ascii="Arial" w:hAnsi="Arial" w:cs="Arial"/>
                <w:b/>
                <w:sz w:val="22"/>
                <w:szCs w:val="22"/>
              </w:rPr>
              <w:t>Planned Activities for Next Reporting Period</w:t>
            </w:r>
          </w:p>
        </w:tc>
      </w:tr>
      <w:tr w:rsidR="00D66683" w:rsidRPr="00642381" w14:paraId="022B376E" w14:textId="77777777" w:rsidTr="00D66683">
        <w:trPr>
          <w:trHeight w:val="588"/>
        </w:trPr>
        <w:tc>
          <w:tcPr>
            <w:tcW w:w="438" w:type="pct"/>
          </w:tcPr>
          <w:p w14:paraId="69FB9F11" w14:textId="10E365D8" w:rsidR="003F2E94" w:rsidRDefault="003F2E94" w:rsidP="00493B5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75123D64" w14:textId="3CE3F965" w:rsidR="00493B5D" w:rsidRDefault="00493B5D" w:rsidP="003F2E94">
            <w:pPr>
              <w:pStyle w:val="ListParagraph"/>
              <w:ind w:left="360"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3" w:type="pct"/>
            <w:shd w:val="clear" w:color="auto" w:fill="auto"/>
          </w:tcPr>
          <w:p w14:paraId="57CA2CF2" w14:textId="6A398D05" w:rsidR="0010161D" w:rsidRPr="00D66683" w:rsidRDefault="0010161D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3D0571C" w14:textId="77777777" w:rsidR="000D252F" w:rsidRDefault="000D252F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D6A1A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8695708" w:rsidR="00423FF8" w:rsidRDefault="00F251AF" w:rsidP="007777D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will be upgraded internally – </w:t>
            </w:r>
            <w:r w:rsidR="007777D7">
              <w:rPr>
                <w:rFonts w:ascii="Arial" w:hAnsi="Arial" w:cs="Arial"/>
                <w:sz w:val="22"/>
                <w:szCs w:val="22"/>
              </w:rPr>
              <w:t>Proceed without a vendor for upgrade support.</w:t>
            </w:r>
          </w:p>
        </w:tc>
        <w:tc>
          <w:tcPr>
            <w:tcW w:w="671" w:type="pct"/>
          </w:tcPr>
          <w:p w14:paraId="14C52846" w14:textId="363B5D8E" w:rsidR="00423FF8" w:rsidRDefault="00F251AF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Andrea Leigh</w:t>
            </w:r>
          </w:p>
        </w:tc>
        <w:tc>
          <w:tcPr>
            <w:tcW w:w="750" w:type="pct"/>
          </w:tcPr>
          <w:p w14:paraId="6AA6D022" w14:textId="5C0A3FA1" w:rsidR="00423FF8" w:rsidRDefault="00F251AF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6A1A">
              <w:rPr>
                <w:rFonts w:ascii="Arial" w:hAnsi="Arial" w:cs="Arial"/>
                <w:sz w:val="22"/>
                <w:szCs w:val="22"/>
              </w:rPr>
              <w:t>No RFP will be required for a vendor.</w:t>
            </w:r>
          </w:p>
        </w:tc>
        <w:tc>
          <w:tcPr>
            <w:tcW w:w="1374" w:type="pct"/>
            <w:shd w:val="clear" w:color="auto" w:fill="auto"/>
          </w:tcPr>
          <w:p w14:paraId="1C8B85DD" w14:textId="3862C9F9" w:rsidR="00423FF8" w:rsidRDefault="003F2E94" w:rsidP="003F2E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6A1A">
              <w:rPr>
                <w:rFonts w:ascii="Arial" w:hAnsi="Arial" w:cs="Arial"/>
                <w:color w:val="000000" w:themeColor="text1"/>
                <w:sz w:val="20"/>
                <w:szCs w:val="22"/>
              </w:rPr>
              <w:t>Upgrade in process internally – no further updates will be updated in this section.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2217"/>
        <w:gridCol w:w="3851"/>
      </w:tblGrid>
      <w:tr w:rsidR="00B57277" w:rsidRPr="00642381" w14:paraId="117CFCE2" w14:textId="77777777" w:rsidTr="00F251A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7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E6F8300" w:rsidR="00972C04" w:rsidRDefault="000D252F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risk – Maximo (current version) requires IE 11 until it’s upgraded</w:t>
            </w:r>
          </w:p>
        </w:tc>
        <w:tc>
          <w:tcPr>
            <w:tcW w:w="671" w:type="pct"/>
          </w:tcPr>
          <w:p w14:paraId="153667BA" w14:textId="32A54024" w:rsidR="00972C04" w:rsidRDefault="003F2E94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F504D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76" w:type="pct"/>
          </w:tcPr>
          <w:p w14:paraId="6335F61A" w14:textId="3387AB82" w:rsidR="00972C04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48" w:type="pct"/>
          </w:tcPr>
          <w:p w14:paraId="7BC1C282" w14:textId="3B5262C3" w:rsidR="00972C04" w:rsidRPr="003F2E94" w:rsidRDefault="00D66683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No issues at this time</w:t>
            </w:r>
            <w:r w:rsidR="00FF504D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</w:t>
            </w: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- will monitor Init-143/Init-166 schedule</w:t>
            </w:r>
          </w:p>
          <w:p w14:paraId="726411E3" w14:textId="77777777" w:rsidR="003F2E94" w:rsidRPr="00493B5D" w:rsidRDefault="003F2E94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ITOps</w:t>
            </w:r>
            <w:proofErr w:type="spellEnd"/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has a work-around for this risk and we are working with Michelle M. on details</w:t>
            </w:r>
          </w:p>
          <w:p w14:paraId="282F31BE" w14:textId="2AB589BF" w:rsidR="00493B5D" w:rsidRPr="003F2E94" w:rsidRDefault="00493B5D" w:rsidP="00493B5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3B5D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12/30/21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: Maximo will be able to use MS Edge – but not IE Compatibility 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lastRenderedPageBreak/>
              <w:t>Mode – It will use a feature of MS Edge that allows an IE Window to directly launch the application.</w:t>
            </w:r>
          </w:p>
        </w:tc>
      </w:tr>
    </w:tbl>
    <w:p w14:paraId="6FD9C18A" w14:textId="109035C1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3"/>
        <w:gridCol w:w="1888"/>
        <w:gridCol w:w="2160"/>
        <w:gridCol w:w="3942"/>
      </w:tblGrid>
      <w:tr w:rsidR="00B57277" w:rsidRPr="00642381" w14:paraId="17C4AEF8" w14:textId="77777777" w:rsidTr="00F251AF">
        <w:trPr>
          <w:trHeight w:val="120"/>
        </w:trPr>
        <w:tc>
          <w:tcPr>
            <w:tcW w:w="2203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61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6F791391" w14:textId="161C7318" w:rsidR="00B57277" w:rsidRPr="00B57277" w:rsidRDefault="00D66683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FileNet Upgrade will have coordination points with this project since there are multiple applications dependent on IE11 that have interfaces with FileNet</w:t>
            </w:r>
          </w:p>
        </w:tc>
        <w:tc>
          <w:tcPr>
            <w:tcW w:w="661" w:type="pct"/>
          </w:tcPr>
          <w:p w14:paraId="12F099B7" w14:textId="30F04F57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56" w:type="pct"/>
          </w:tcPr>
          <w:p w14:paraId="3345B4A8" w14:textId="62070504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4306D32" w14:textId="1B370C52" w:rsidR="00B57277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issues at this time.  </w:t>
            </w:r>
          </w:p>
        </w:tc>
      </w:tr>
      <w:tr w:rsidR="004D6A1A" w:rsidRPr="004D6A1A" w14:paraId="44A3993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146A0C45" w14:textId="550B1FED" w:rsidR="00D66683" w:rsidRPr="001609CE" w:rsidRDefault="00FF504D" w:rsidP="00FF504D">
            <w:pPr>
              <w:rPr>
                <w:rFonts w:ascii="Arial" w:hAnsi="Arial" w:cs="Arial"/>
                <w:sz w:val="22"/>
                <w:szCs w:val="22"/>
              </w:rPr>
            </w:pPr>
            <w:r w:rsidRPr="001609CE">
              <w:rPr>
                <w:rFonts w:ascii="Arial" w:hAnsi="Arial" w:cs="Arial"/>
                <w:sz w:val="22"/>
                <w:szCs w:val="22"/>
              </w:rPr>
              <w:t>The SharePoin</w:t>
            </w:r>
            <w:r w:rsidR="004D6A1A" w:rsidRPr="001609CE">
              <w:rPr>
                <w:rFonts w:ascii="Arial" w:hAnsi="Arial" w:cs="Arial"/>
                <w:sz w:val="22"/>
                <w:szCs w:val="22"/>
              </w:rPr>
              <w:t>t upgrade may be delayed due to file share links not working in Edge.</w:t>
            </w:r>
          </w:p>
        </w:tc>
        <w:tc>
          <w:tcPr>
            <w:tcW w:w="661" w:type="pct"/>
          </w:tcPr>
          <w:p w14:paraId="43657A19" w14:textId="5720BD01" w:rsidR="00D66683" w:rsidRPr="001609CE" w:rsidRDefault="004D6A1A" w:rsidP="004D6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9CE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756" w:type="pct"/>
          </w:tcPr>
          <w:p w14:paraId="2709F26A" w14:textId="0CE7C035" w:rsidR="00D66683" w:rsidRPr="001609CE" w:rsidRDefault="004D6A1A" w:rsidP="004D6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9CE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4B39A40" w14:textId="5C4648E6" w:rsidR="00D66683" w:rsidRDefault="004D6A1A" w:rsidP="001609C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1609CE">
              <w:rPr>
                <w:rFonts w:ascii="Arial" w:hAnsi="Arial" w:cs="Arial"/>
                <w:sz w:val="22"/>
                <w:szCs w:val="22"/>
              </w:rPr>
              <w:t>Cassandra will be scheduling a go/no go meeting.</w:t>
            </w:r>
          </w:p>
          <w:p w14:paraId="0F677AD2" w14:textId="78A3B741" w:rsidR="001609CE" w:rsidRPr="00703A6B" w:rsidRDefault="001609CE" w:rsidP="001609C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03A6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meeting was scheduled and determined that 300 links were impacted and can be handled manually, with a new roll out date </w:t>
            </w:r>
            <w:r w:rsidR="00703A6B" w:rsidRPr="00703A6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 </w:t>
            </w:r>
            <w:proofErr w:type="spellStart"/>
            <w:r w:rsidR="00703A6B" w:rsidRPr="00703A6B">
              <w:rPr>
                <w:rFonts w:ascii="Arial" w:hAnsi="Arial" w:cs="Arial"/>
                <w:sz w:val="22"/>
                <w:szCs w:val="22"/>
                <w:highlight w:val="yellow"/>
              </w:rPr>
              <w:t>Sharepointe</w:t>
            </w:r>
            <w:proofErr w:type="spellEnd"/>
            <w:r w:rsidR="00703A6B" w:rsidRPr="00703A6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 w:rsidRPr="00703A6B">
              <w:rPr>
                <w:rFonts w:ascii="Arial" w:hAnsi="Arial" w:cs="Arial"/>
                <w:sz w:val="22"/>
                <w:szCs w:val="22"/>
                <w:highlight w:val="yellow"/>
              </w:rPr>
              <w:t>to be determined regardless of INIT191.</w:t>
            </w:r>
          </w:p>
          <w:p w14:paraId="43A5A479" w14:textId="6DC409A9" w:rsidR="001609CE" w:rsidRPr="004D6A1A" w:rsidRDefault="001609CE" w:rsidP="004D6A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C71B60" w14:textId="5952E920" w:rsidR="005844CB" w:rsidRPr="004D6A1A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4D6A1A" w:rsidRDefault="005844CB" w:rsidP="005844CB">
      <w:pPr>
        <w:rPr>
          <w:sz w:val="4"/>
          <w:szCs w:val="4"/>
        </w:rPr>
      </w:pPr>
    </w:p>
    <w:p w14:paraId="54201C90" w14:textId="77777777" w:rsidR="005844CB" w:rsidRPr="004D6A1A" w:rsidRDefault="005844CB" w:rsidP="005844CB">
      <w:pPr>
        <w:rPr>
          <w:sz w:val="4"/>
          <w:szCs w:val="4"/>
        </w:rPr>
      </w:pPr>
    </w:p>
    <w:p w14:paraId="06F00BB9" w14:textId="77777777" w:rsidR="005844CB" w:rsidRPr="004D6A1A" w:rsidRDefault="005844CB" w:rsidP="005844CB">
      <w:pPr>
        <w:rPr>
          <w:sz w:val="4"/>
          <w:szCs w:val="4"/>
        </w:rPr>
      </w:pPr>
    </w:p>
    <w:sectPr w:rsidR="005844CB" w:rsidRPr="004D6A1A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9F6B5" w14:textId="77777777" w:rsidR="00AC70C6" w:rsidRDefault="00AC70C6">
      <w:r>
        <w:separator/>
      </w:r>
    </w:p>
  </w:endnote>
  <w:endnote w:type="continuationSeparator" w:id="0">
    <w:p w14:paraId="1A6CA4E4" w14:textId="77777777" w:rsidR="00AC70C6" w:rsidRDefault="00AC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607F0C5" w:rsidR="00493B5D" w:rsidRPr="00B201D0" w:rsidRDefault="00493B5D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   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5F26E5">
          <w:rPr>
            <w:rFonts w:ascii="Arial" w:hAnsi="Arial" w:cs="Arial"/>
            <w:i/>
            <w:noProof/>
            <w:sz w:val="20"/>
            <w:szCs w:val="20"/>
          </w:rPr>
          <w:t>9/2/2022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703A6B">
          <w:rPr>
            <w:rFonts w:ascii="Arial" w:hAnsi="Arial" w:cs="Arial"/>
            <w:noProof/>
            <w:sz w:val="20"/>
            <w:szCs w:val="20"/>
          </w:rPr>
          <w:t>1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C3D9E" w14:textId="77777777" w:rsidR="00AC70C6" w:rsidRDefault="00AC70C6">
      <w:r>
        <w:separator/>
      </w:r>
    </w:p>
  </w:footnote>
  <w:footnote w:type="continuationSeparator" w:id="0">
    <w:p w14:paraId="1CE421D7" w14:textId="77777777" w:rsidR="00AC70C6" w:rsidRDefault="00AC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D464C"/>
    <w:multiLevelType w:val="hybridMultilevel"/>
    <w:tmpl w:val="3F50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753"/>
    <w:multiLevelType w:val="hybridMultilevel"/>
    <w:tmpl w:val="9184D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0E6"/>
    <w:multiLevelType w:val="hybridMultilevel"/>
    <w:tmpl w:val="98185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35FC"/>
    <w:multiLevelType w:val="hybridMultilevel"/>
    <w:tmpl w:val="95BC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01C09"/>
    <w:multiLevelType w:val="hybridMultilevel"/>
    <w:tmpl w:val="EC681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272FA"/>
    <w:multiLevelType w:val="hybridMultilevel"/>
    <w:tmpl w:val="46A0F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53300"/>
    <w:multiLevelType w:val="hybridMultilevel"/>
    <w:tmpl w:val="85849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7139"/>
    <w:multiLevelType w:val="hybridMultilevel"/>
    <w:tmpl w:val="F13C3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890480"/>
    <w:multiLevelType w:val="hybridMultilevel"/>
    <w:tmpl w:val="89144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7"/>
  </w:num>
  <w:num w:numId="5">
    <w:abstractNumId w:val="11"/>
  </w:num>
  <w:num w:numId="6">
    <w:abstractNumId w:val="18"/>
  </w:num>
  <w:num w:numId="7">
    <w:abstractNumId w:val="2"/>
  </w:num>
  <w:num w:numId="8">
    <w:abstractNumId w:val="0"/>
  </w:num>
  <w:num w:numId="9">
    <w:abstractNumId w:val="17"/>
  </w:num>
  <w:num w:numId="10">
    <w:abstractNumId w:val="21"/>
  </w:num>
  <w:num w:numId="11">
    <w:abstractNumId w:val="19"/>
  </w:num>
  <w:num w:numId="12">
    <w:abstractNumId w:val="15"/>
  </w:num>
  <w:num w:numId="13">
    <w:abstractNumId w:val="22"/>
  </w:num>
  <w:num w:numId="14">
    <w:abstractNumId w:val="12"/>
  </w:num>
  <w:num w:numId="15">
    <w:abstractNumId w:val="8"/>
  </w:num>
  <w:num w:numId="16">
    <w:abstractNumId w:val="5"/>
  </w:num>
  <w:num w:numId="17">
    <w:abstractNumId w:val="3"/>
  </w:num>
  <w:num w:numId="18">
    <w:abstractNumId w:val="10"/>
  </w:num>
  <w:num w:numId="19">
    <w:abstractNumId w:val="23"/>
  </w:num>
  <w:num w:numId="20">
    <w:abstractNumId w:val="6"/>
  </w:num>
  <w:num w:numId="21">
    <w:abstractNumId w:val="4"/>
  </w:num>
  <w:num w:numId="22">
    <w:abstractNumId w:val="16"/>
  </w:num>
  <w:num w:numId="23">
    <w:abstractNumId w:val="1"/>
  </w:num>
  <w:num w:numId="24">
    <w:abstractNumId w:val="24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4179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A34EA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252F"/>
    <w:rsid w:val="000D3B3C"/>
    <w:rsid w:val="000D4A64"/>
    <w:rsid w:val="000E5168"/>
    <w:rsid w:val="000F1EF5"/>
    <w:rsid w:val="000F4796"/>
    <w:rsid w:val="000F570B"/>
    <w:rsid w:val="0010161D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09CE"/>
    <w:rsid w:val="001632A3"/>
    <w:rsid w:val="001642AA"/>
    <w:rsid w:val="001644A5"/>
    <w:rsid w:val="00165466"/>
    <w:rsid w:val="001654AD"/>
    <w:rsid w:val="00165ADC"/>
    <w:rsid w:val="00167328"/>
    <w:rsid w:val="0017088D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32BC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0664C"/>
    <w:rsid w:val="0021172E"/>
    <w:rsid w:val="00211C76"/>
    <w:rsid w:val="002153D0"/>
    <w:rsid w:val="002168FE"/>
    <w:rsid w:val="00226B45"/>
    <w:rsid w:val="00227DC2"/>
    <w:rsid w:val="00230E2E"/>
    <w:rsid w:val="002321AA"/>
    <w:rsid w:val="00233351"/>
    <w:rsid w:val="00233A27"/>
    <w:rsid w:val="002366F0"/>
    <w:rsid w:val="002417AA"/>
    <w:rsid w:val="002425E6"/>
    <w:rsid w:val="002533FE"/>
    <w:rsid w:val="002551FA"/>
    <w:rsid w:val="002554E4"/>
    <w:rsid w:val="00266D9A"/>
    <w:rsid w:val="00267864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0F01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432F3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67C8"/>
    <w:rsid w:val="00377E2A"/>
    <w:rsid w:val="00383C0A"/>
    <w:rsid w:val="00385750"/>
    <w:rsid w:val="00386E7D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C642C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2E94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4C78"/>
    <w:rsid w:val="00445EDA"/>
    <w:rsid w:val="00454B97"/>
    <w:rsid w:val="00454BF0"/>
    <w:rsid w:val="00457463"/>
    <w:rsid w:val="00457538"/>
    <w:rsid w:val="00460D7E"/>
    <w:rsid w:val="00464878"/>
    <w:rsid w:val="0046669F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D"/>
    <w:rsid w:val="00493B5E"/>
    <w:rsid w:val="0049513E"/>
    <w:rsid w:val="004A14F7"/>
    <w:rsid w:val="004A60B1"/>
    <w:rsid w:val="004B32E3"/>
    <w:rsid w:val="004B6CB4"/>
    <w:rsid w:val="004B6D39"/>
    <w:rsid w:val="004C092F"/>
    <w:rsid w:val="004D3509"/>
    <w:rsid w:val="004D5389"/>
    <w:rsid w:val="004D6A1A"/>
    <w:rsid w:val="004E74CB"/>
    <w:rsid w:val="004E772F"/>
    <w:rsid w:val="004F0255"/>
    <w:rsid w:val="004F0AC6"/>
    <w:rsid w:val="004F1394"/>
    <w:rsid w:val="004F1420"/>
    <w:rsid w:val="004F2B73"/>
    <w:rsid w:val="004F313C"/>
    <w:rsid w:val="004F364F"/>
    <w:rsid w:val="004F3D5D"/>
    <w:rsid w:val="004F6E93"/>
    <w:rsid w:val="004F722D"/>
    <w:rsid w:val="005004AC"/>
    <w:rsid w:val="00504DA8"/>
    <w:rsid w:val="00505B10"/>
    <w:rsid w:val="0051486C"/>
    <w:rsid w:val="0051524F"/>
    <w:rsid w:val="005152AD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06C5"/>
    <w:rsid w:val="0059126D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6E5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28FD"/>
    <w:rsid w:val="00633079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A12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2B1E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1959"/>
    <w:rsid w:val="00703A6B"/>
    <w:rsid w:val="00706649"/>
    <w:rsid w:val="00711142"/>
    <w:rsid w:val="0071516E"/>
    <w:rsid w:val="00716F34"/>
    <w:rsid w:val="007201EB"/>
    <w:rsid w:val="00722B44"/>
    <w:rsid w:val="007252A2"/>
    <w:rsid w:val="00734374"/>
    <w:rsid w:val="00735E18"/>
    <w:rsid w:val="00737B19"/>
    <w:rsid w:val="00743136"/>
    <w:rsid w:val="007437C6"/>
    <w:rsid w:val="00745EDB"/>
    <w:rsid w:val="00746E9D"/>
    <w:rsid w:val="0074772B"/>
    <w:rsid w:val="00757011"/>
    <w:rsid w:val="00757D61"/>
    <w:rsid w:val="007607EA"/>
    <w:rsid w:val="00762CC4"/>
    <w:rsid w:val="007661C0"/>
    <w:rsid w:val="00766F7B"/>
    <w:rsid w:val="00770510"/>
    <w:rsid w:val="007777D7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83C0A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169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0564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4B83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4BD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3B39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0C6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473E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0E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7786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CF745A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45A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683"/>
    <w:rsid w:val="00D66DE1"/>
    <w:rsid w:val="00D74DA0"/>
    <w:rsid w:val="00D76E88"/>
    <w:rsid w:val="00D837E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E6D9D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170B9"/>
    <w:rsid w:val="00E20BCC"/>
    <w:rsid w:val="00E22D62"/>
    <w:rsid w:val="00E23126"/>
    <w:rsid w:val="00E238F7"/>
    <w:rsid w:val="00E23BC1"/>
    <w:rsid w:val="00E24423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A25"/>
    <w:rsid w:val="00EC7B1E"/>
    <w:rsid w:val="00ED1DCF"/>
    <w:rsid w:val="00ED4EFC"/>
    <w:rsid w:val="00ED6250"/>
    <w:rsid w:val="00ED6B13"/>
    <w:rsid w:val="00ED6D8A"/>
    <w:rsid w:val="00EE0FEA"/>
    <w:rsid w:val="00EE154D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51AF"/>
    <w:rsid w:val="00F26B38"/>
    <w:rsid w:val="00F26C5D"/>
    <w:rsid w:val="00F3059F"/>
    <w:rsid w:val="00F44DBC"/>
    <w:rsid w:val="00F4736C"/>
    <w:rsid w:val="00F475FA"/>
    <w:rsid w:val="00F528DF"/>
    <w:rsid w:val="00F52D0F"/>
    <w:rsid w:val="00F52D6B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4AFD4B-6AAE-47AE-9747-D877BF11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Kerri Stewart</cp:lastModifiedBy>
  <cp:revision>6</cp:revision>
  <cp:lastPrinted>2020-09-16T22:45:00Z</cp:lastPrinted>
  <dcterms:created xsi:type="dcterms:W3CDTF">2022-09-02T15:23:00Z</dcterms:created>
  <dcterms:modified xsi:type="dcterms:W3CDTF">2022-09-02T17:47:00Z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